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602" w:firstLineChars="200"/>
        <w:jc w:val="center"/>
        <w:rPr>
          <w:b/>
          <w:sz w:val="24"/>
        </w:rPr>
      </w:pPr>
      <w:r>
        <w:rPr>
          <w:rFonts w:hint="eastAsia"/>
          <w:b/>
          <w:sz w:val="30"/>
          <w:szCs w:val="30"/>
        </w:rPr>
        <w:t>法律</w:t>
      </w:r>
      <w:r>
        <w:rPr>
          <w:rFonts w:hint="eastAsia" w:ascii="宋体" w:hAnsi="宋体"/>
          <w:b/>
          <w:sz w:val="30"/>
          <w:szCs w:val="30"/>
        </w:rPr>
        <w:t>硕士（法学）专业学位研究生培养方案</w:t>
      </w:r>
    </w:p>
    <w:p>
      <w:pPr>
        <w:spacing w:line="360" w:lineRule="auto"/>
        <w:jc w:val="center"/>
        <w:rPr>
          <w:b/>
          <w:bCs/>
          <w:sz w:val="30"/>
          <w:szCs w:val="30"/>
        </w:rPr>
      </w:pPr>
      <w:r>
        <w:rPr>
          <w:rFonts w:hAnsi="宋体"/>
          <w:b/>
          <w:bCs/>
          <w:sz w:val="30"/>
          <w:szCs w:val="30"/>
        </w:rPr>
        <w:t>（</w:t>
      </w:r>
      <w:r>
        <w:rPr>
          <w:rFonts w:hint="eastAsia" w:hAnsi="宋体"/>
          <w:b/>
          <w:bCs/>
          <w:sz w:val="30"/>
          <w:szCs w:val="30"/>
        </w:rPr>
        <w:t>035102</w:t>
      </w:r>
      <w:r>
        <w:rPr>
          <w:rFonts w:hAnsi="宋体"/>
          <w:b/>
          <w:bCs/>
          <w:sz w:val="30"/>
          <w:szCs w:val="30"/>
        </w:rPr>
        <w:t>）</w:t>
      </w:r>
    </w:p>
    <w:p>
      <w:pPr>
        <w:adjustRightInd w:val="0"/>
        <w:snapToGrid w:val="0"/>
        <w:spacing w:line="360" w:lineRule="auto"/>
        <w:ind w:firstLine="480" w:firstLineChars="200"/>
        <w:rPr>
          <w:rFonts w:cs="仿宋" w:asciiTheme="minorEastAsia" w:hAnsiTheme="minorEastAsia" w:eastAsiaTheme="minorEastAsia"/>
          <w:sz w:val="24"/>
        </w:rPr>
      </w:pPr>
      <w:r>
        <w:rPr>
          <w:rFonts w:hint="eastAsia" w:cs="仿宋" w:asciiTheme="minorEastAsia" w:hAnsiTheme="minorEastAsia" w:eastAsiaTheme="minorEastAsia"/>
          <w:sz w:val="24"/>
        </w:rPr>
        <w:t>2014年，河北科技大学获批法律硕士专业学位授权单位。自2015年开始招生以来，在“充分挖掘资源、倡导学科交叉，注重基础素质，突出职业能力”思想指引下，明确服务区域法治建设的办学定位，以培养“接地气儿”的基层法治人才为核心目标，坚持小班化教学、精细化培养。本专业学位点现有指导教师10余名，校外行业导师20余名，导师专业领域基本覆盖法学各二级学科。本专业学位点在各级人民法院、人民检察院、律师事务所等法治专门机构建有研究生工作站多个，能够满足研究生实习实践需要。</w:t>
      </w:r>
    </w:p>
    <w:p>
      <w:pPr>
        <w:adjustRightInd w:val="0"/>
        <w:snapToGrid w:val="0"/>
        <w:spacing w:line="360" w:lineRule="auto"/>
        <w:rPr>
          <w:b/>
          <w:sz w:val="24"/>
        </w:rPr>
      </w:pPr>
      <w:r>
        <w:rPr>
          <w:rFonts w:hint="eastAsia" w:hAnsi="宋体"/>
          <w:b/>
          <w:sz w:val="24"/>
        </w:rPr>
        <w:t>一、</w:t>
      </w:r>
      <w:r>
        <w:rPr>
          <w:rFonts w:hAnsi="宋体"/>
          <w:b/>
          <w:sz w:val="24"/>
        </w:rPr>
        <w:t>培养目标</w:t>
      </w:r>
      <w:r>
        <w:rPr>
          <w:rFonts w:hint="eastAsia" w:hAnsi="宋体"/>
          <w:b/>
          <w:sz w:val="24"/>
        </w:rPr>
        <w:t>与要求</w:t>
      </w:r>
    </w:p>
    <w:p>
      <w:pPr>
        <w:widowControl/>
        <w:adjustRightInd w:val="0"/>
        <w:snapToGrid w:val="0"/>
        <w:spacing w:line="360" w:lineRule="auto"/>
        <w:ind w:firstLine="480" w:firstLineChars="200"/>
        <w:rPr>
          <w:rFonts w:ascii="宋体" w:hAnsi="宋体" w:cs="宋体"/>
          <w:kern w:val="0"/>
          <w:sz w:val="24"/>
        </w:rPr>
      </w:pPr>
      <w:r>
        <w:rPr>
          <w:rFonts w:hint="eastAsia" w:ascii="宋体" w:hAnsi="宋体" w:cs="宋体"/>
          <w:kern w:val="0"/>
          <w:sz w:val="24"/>
        </w:rPr>
        <w:t>本专业学位主要培养立法、司法、行政执法和法律服务领域德才兼备的高层次的专门型、应用型法治人才。</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（一）基本要求</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1.掌握中国特色社会主义理论体系，遵守宪法和法律，德法兼修，具有良好的政治素质和道德品质，遵循法律职业伦理和法律职业道德规范；</w:t>
      </w:r>
    </w:p>
    <w:p>
      <w:pPr>
        <w:widowControl/>
        <w:adjustRightInd w:val="0"/>
        <w:snapToGrid w:val="0"/>
        <w:spacing w:line="360" w:lineRule="auto"/>
        <w:ind w:firstLine="480"/>
        <w:rPr>
          <w:rFonts w:ascii="宋体" w:hAnsi="宋体" w:cs="宋体"/>
          <w:kern w:val="0"/>
          <w:sz w:val="24"/>
        </w:rPr>
      </w:pPr>
      <w:r>
        <w:rPr>
          <w:rFonts w:hint="eastAsia" w:ascii="宋体" w:hAnsi="宋体" w:cs="宋体"/>
          <w:kern w:val="0"/>
          <w:sz w:val="24"/>
        </w:rPr>
        <w:t>2.全面掌握法学基</w:t>
      </w:r>
      <w:r>
        <w:rPr>
          <w:kern w:val="0"/>
          <w:sz w:val="24"/>
        </w:rPr>
        <w:t>本原理，</w:t>
      </w:r>
      <w:r>
        <w:rPr>
          <w:rFonts w:hint="eastAsia"/>
          <w:kern w:val="0"/>
          <w:sz w:val="24"/>
        </w:rPr>
        <w:t>特别是社会主义法学基本原理，</w:t>
      </w:r>
      <w:r>
        <w:rPr>
          <w:kern w:val="0"/>
          <w:sz w:val="24"/>
        </w:rPr>
        <w:t>具备从事法律职业所要求的法律知识、法律术语、法律思维、法律方法和</w:t>
      </w:r>
      <w:r>
        <w:rPr>
          <w:rFonts w:hint="eastAsia"/>
          <w:kern w:val="0"/>
          <w:sz w:val="24"/>
        </w:rPr>
        <w:t>法律技能；</w:t>
      </w:r>
    </w:p>
    <w:p>
      <w:pPr>
        <w:widowControl/>
        <w:adjustRightInd w:val="0"/>
        <w:snapToGrid w:val="0"/>
        <w:spacing w:line="360" w:lineRule="auto"/>
        <w:ind w:firstLine="480" w:firstLineChars="200"/>
        <w:rPr>
          <w:kern w:val="0"/>
          <w:sz w:val="24"/>
        </w:rPr>
      </w:pPr>
      <w:r>
        <w:rPr>
          <w:rFonts w:hint="eastAsia"/>
          <w:kern w:val="0"/>
          <w:sz w:val="24"/>
        </w:rPr>
        <w:t>3.自觉践行社会主义核心价值观，综合运用法律和其他专业知识，具有独立从事法务工作的能力；</w:t>
      </w:r>
      <w:r>
        <w:rPr>
          <w:kern w:val="0"/>
          <w:sz w:val="24"/>
        </w:rPr>
        <w:t xml:space="preserve"> </w:t>
      </w:r>
    </w:p>
    <w:p>
      <w:pPr>
        <w:widowControl/>
        <w:adjustRightInd w:val="0"/>
        <w:snapToGrid w:val="0"/>
        <w:spacing w:line="360" w:lineRule="auto"/>
        <w:ind w:firstLine="480" w:firstLineChars="200"/>
        <w:rPr>
          <w:kern w:val="0"/>
          <w:sz w:val="24"/>
        </w:rPr>
      </w:pPr>
      <w:r>
        <w:rPr>
          <w:rFonts w:hint="eastAsia"/>
          <w:kern w:val="0"/>
          <w:sz w:val="24"/>
        </w:rPr>
        <w:t>4.</w:t>
      </w:r>
      <w:r>
        <w:rPr>
          <w:kern w:val="0"/>
          <w:sz w:val="24"/>
        </w:rPr>
        <w:t xml:space="preserve">熟练掌握一门外语。 </w:t>
      </w:r>
    </w:p>
    <w:p>
      <w:pPr>
        <w:widowControl/>
        <w:adjustRightInd w:val="0"/>
        <w:snapToGrid w:val="0"/>
        <w:spacing w:line="360" w:lineRule="auto"/>
        <w:ind w:firstLine="480" w:firstLineChars="200"/>
        <w:rPr>
          <w:kern w:val="0"/>
          <w:sz w:val="24"/>
        </w:rPr>
      </w:pPr>
      <w:r>
        <w:rPr>
          <w:rFonts w:hint="eastAsia"/>
          <w:kern w:val="0"/>
          <w:sz w:val="24"/>
        </w:rPr>
        <w:t>（二）具体要求</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1.全面掌握法律专业知识；</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2.能够运用法律思维分析和解决法律实务问题；</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3.熟练运用法律解释方法，具备在具体案件中进行法律推理的能力；</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4.掌握诉讼主要程序，熟练从事法律事务代理和辩护业务；</w:t>
      </w:r>
    </w:p>
    <w:p>
      <w:pPr>
        <w:widowControl/>
        <w:adjustRightInd w:val="0"/>
        <w:snapToGrid w:val="0"/>
        <w:spacing w:line="360" w:lineRule="auto"/>
        <w:ind w:firstLine="480" w:firstLineChars="200"/>
        <w:rPr>
          <w:kern w:val="0"/>
          <w:sz w:val="24"/>
        </w:rPr>
      </w:pPr>
      <w:r>
        <w:rPr>
          <w:rFonts w:hint="eastAsia" w:ascii="宋体" w:hAnsi="宋体"/>
          <w:kern w:val="0"/>
          <w:sz w:val="24"/>
        </w:rPr>
        <w:t>5.熟练从事非诉讼法律实务以及</w:t>
      </w:r>
      <w:r>
        <w:rPr>
          <w:rFonts w:hint="eastAsia"/>
          <w:kern w:val="0"/>
          <w:sz w:val="24"/>
        </w:rPr>
        <w:t>法律事务的组织和管理；</w:t>
      </w:r>
    </w:p>
    <w:p>
      <w:pPr>
        <w:widowControl/>
        <w:adjustRightInd w:val="0"/>
        <w:snapToGrid w:val="0"/>
        <w:spacing w:line="360" w:lineRule="auto"/>
        <w:ind w:firstLine="480" w:firstLineChars="200"/>
        <w:rPr>
          <w:kern w:val="0"/>
          <w:sz w:val="24"/>
        </w:rPr>
      </w:pPr>
      <w:r>
        <w:rPr>
          <w:rFonts w:hint="eastAsia"/>
          <w:kern w:val="0"/>
          <w:sz w:val="24"/>
        </w:rPr>
        <w:t>6.熟练掌握法律文书制作技能。</w:t>
      </w:r>
    </w:p>
    <w:p>
      <w:pPr>
        <w:adjustRightInd w:val="0"/>
        <w:snapToGrid w:val="0"/>
        <w:spacing w:line="360" w:lineRule="auto"/>
        <w:rPr>
          <w:b/>
          <w:sz w:val="24"/>
        </w:rPr>
      </w:pPr>
      <w:r>
        <w:rPr>
          <w:rFonts w:hint="eastAsia" w:hAnsi="宋体"/>
          <w:b/>
          <w:sz w:val="24"/>
        </w:rPr>
        <w:t>二、培养对象</w:t>
      </w:r>
    </w:p>
    <w:p>
      <w:pPr>
        <w:adjustRightInd w:val="0"/>
        <w:snapToGrid w:val="0"/>
        <w:spacing w:line="360" w:lineRule="auto"/>
        <w:ind w:firstLine="480" w:firstLineChars="200"/>
        <w:rPr>
          <w:rFonts w:hAnsi="宋体"/>
          <w:sz w:val="24"/>
          <w:szCs w:val="20"/>
        </w:rPr>
      </w:pPr>
      <w:r>
        <w:rPr>
          <w:rFonts w:hint="eastAsia"/>
          <w:kern w:val="0"/>
          <w:sz w:val="24"/>
        </w:rPr>
        <w:t>通过全国法律硕士专业学位研究生统一入学考试，经河北科技大学录取，</w:t>
      </w:r>
      <w:r>
        <w:rPr>
          <w:kern w:val="0"/>
          <w:sz w:val="24"/>
        </w:rPr>
        <w:t>具有国民教育序列</w:t>
      </w:r>
      <w:r>
        <w:rPr>
          <w:rFonts w:hint="eastAsia"/>
          <w:kern w:val="0"/>
          <w:sz w:val="24"/>
        </w:rPr>
        <w:t>法学专业</w:t>
      </w:r>
      <w:r>
        <w:rPr>
          <w:kern w:val="0"/>
          <w:sz w:val="24"/>
        </w:rPr>
        <w:t>大学本科学历的</w:t>
      </w:r>
      <w:r>
        <w:rPr>
          <w:rFonts w:hint="eastAsia"/>
          <w:kern w:val="0"/>
          <w:sz w:val="24"/>
        </w:rPr>
        <w:t>应、往届</w:t>
      </w:r>
      <w:r>
        <w:rPr>
          <w:kern w:val="0"/>
          <w:sz w:val="24"/>
        </w:rPr>
        <w:t>毕业生</w:t>
      </w:r>
      <w:r>
        <w:rPr>
          <w:rFonts w:hint="eastAsia"/>
          <w:kern w:val="0"/>
          <w:sz w:val="24"/>
        </w:rPr>
        <w:t>或同等学力人员</w:t>
      </w:r>
      <w:r>
        <w:rPr>
          <w:kern w:val="0"/>
          <w:sz w:val="24"/>
        </w:rPr>
        <w:t xml:space="preserve">。 </w:t>
      </w:r>
    </w:p>
    <w:p>
      <w:pPr>
        <w:adjustRightInd w:val="0"/>
        <w:snapToGrid w:val="0"/>
        <w:spacing w:line="360" w:lineRule="auto"/>
        <w:rPr>
          <w:b/>
          <w:sz w:val="24"/>
        </w:rPr>
      </w:pPr>
      <w:r>
        <w:rPr>
          <w:rFonts w:hint="eastAsia" w:hAnsi="宋体"/>
          <w:b/>
          <w:sz w:val="24"/>
        </w:rPr>
        <w:t>三、</w:t>
      </w:r>
      <w:r>
        <w:rPr>
          <w:rFonts w:hAnsi="宋体"/>
          <w:b/>
          <w:sz w:val="24"/>
        </w:rPr>
        <w:t>学制</w:t>
      </w:r>
      <w:r>
        <w:rPr>
          <w:rFonts w:hint="eastAsia" w:hAnsi="宋体"/>
          <w:b/>
          <w:sz w:val="24"/>
        </w:rPr>
        <w:t>、</w:t>
      </w:r>
      <w:r>
        <w:rPr>
          <w:rFonts w:hAnsi="宋体"/>
          <w:b/>
          <w:sz w:val="24"/>
        </w:rPr>
        <w:t>学分</w:t>
      </w:r>
      <w:r>
        <w:rPr>
          <w:rFonts w:hint="eastAsia" w:hAnsi="宋体"/>
          <w:b/>
          <w:sz w:val="24"/>
        </w:rPr>
        <w:t>与培养方式</w:t>
      </w:r>
    </w:p>
    <w:p>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（一）学制</w:t>
      </w:r>
    </w:p>
    <w:p>
      <w:pPr>
        <w:widowControl/>
        <w:adjustRightInd w:val="0"/>
        <w:snapToGrid w:val="0"/>
        <w:spacing w:line="360" w:lineRule="auto"/>
        <w:ind w:firstLine="480" w:firstLineChars="200"/>
        <w:rPr>
          <w:rFonts w:ascii="宋体" w:hAnsi="宋体"/>
          <w:bCs/>
          <w:sz w:val="24"/>
        </w:rPr>
      </w:pPr>
      <w:r>
        <w:rPr>
          <w:rFonts w:hint="eastAsia" w:ascii="宋体" w:hAnsi="宋体"/>
          <w:kern w:val="0"/>
          <w:sz w:val="24"/>
        </w:rPr>
        <w:t>全日制法律硕士（法学）研究生基本修业年限为2.5年，最长修业年限为5年；</w:t>
      </w:r>
      <w:r>
        <w:rPr>
          <w:rFonts w:hint="eastAsia" w:ascii="宋体" w:hAnsi="宋体"/>
          <w:bCs/>
          <w:sz w:val="24"/>
        </w:rPr>
        <w:t>非全日制法律硕士（法学）研究生基本修业年限为3年，最长修业年限为6年。修业年限含休学和保留入学资格期限。超过最长修业年限研究生的学籍，依照《河北科技大学研究生学籍管理规定》办理。</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 xml:space="preserve">（二）学分 </w:t>
      </w:r>
    </w:p>
    <w:p>
      <w:pPr>
        <w:widowControl/>
        <w:adjustRightInd w:val="0"/>
        <w:snapToGrid w:val="0"/>
        <w:spacing w:line="360" w:lineRule="auto"/>
        <w:ind w:firstLine="480" w:firstLineChars="200"/>
        <w:rPr>
          <w:rFonts w:ascii="宋体" w:hAnsi="宋体" w:cs="宋体"/>
          <w:kern w:val="0"/>
          <w:sz w:val="24"/>
        </w:rPr>
      </w:pPr>
      <w:r>
        <w:rPr>
          <w:kern w:val="0"/>
          <w:sz w:val="24"/>
        </w:rPr>
        <w:t>法律硕士（法学）研究生</w:t>
      </w:r>
      <w:r>
        <w:rPr>
          <w:rFonts w:ascii="宋体" w:hAnsi="宋体" w:cs="宋体"/>
          <w:kern w:val="0"/>
          <w:sz w:val="24"/>
        </w:rPr>
        <w:t>毕业并获得学位，总学分不低于</w:t>
      </w:r>
      <w:r>
        <w:rPr>
          <w:rFonts w:hint="eastAsia" w:ascii="宋体" w:hAnsi="宋体" w:cs="宋体"/>
          <w:kern w:val="0"/>
          <w:sz w:val="24"/>
        </w:rPr>
        <w:t>52</w:t>
      </w:r>
      <w:r>
        <w:rPr>
          <w:rFonts w:ascii="宋体" w:hAnsi="宋体" w:cs="宋体"/>
          <w:kern w:val="0"/>
          <w:sz w:val="24"/>
        </w:rPr>
        <w:t>学分</w:t>
      </w:r>
      <w:r>
        <w:rPr>
          <w:rFonts w:hint="eastAsia" w:ascii="宋体" w:hAnsi="宋体" w:cs="宋体"/>
          <w:sz w:val="24"/>
        </w:rPr>
        <w:t>，其</w:t>
      </w:r>
      <w:r>
        <w:rPr>
          <w:rFonts w:hint="eastAsia" w:ascii="宋体" w:hAnsi="宋体" w:cs="宋体"/>
          <w:kern w:val="0"/>
          <w:sz w:val="24"/>
        </w:rPr>
        <w:t>中学位课不低于20学分，非学位课不低于17学分（推荐选修课不低于16学分，特色方向选修课任选，公共选修课1学分）。实践教学与训练不低于15学分。</w:t>
      </w:r>
      <w:r>
        <w:rPr>
          <w:rFonts w:ascii="宋体" w:hAnsi="宋体" w:cs="宋体"/>
          <w:kern w:val="0"/>
          <w:sz w:val="24"/>
        </w:rPr>
        <w:t>各科成绩60分以上（含60分），可取得相应课程学分</w:t>
      </w:r>
      <w:r>
        <w:rPr>
          <w:rFonts w:hint="eastAsia" w:ascii="宋体" w:hAnsi="宋体" w:cs="宋体"/>
          <w:kern w:val="0"/>
          <w:sz w:val="24"/>
        </w:rPr>
        <w:t>，并</w:t>
      </w:r>
      <w:r>
        <w:rPr>
          <w:rFonts w:ascii="宋体" w:hAnsi="宋体" w:cs="宋体"/>
          <w:kern w:val="0"/>
          <w:sz w:val="24"/>
        </w:rPr>
        <w:t>获得毕业资格</w:t>
      </w:r>
      <w:r>
        <w:rPr>
          <w:rFonts w:hint="eastAsia" w:ascii="宋体" w:hAnsi="宋体" w:cs="宋体"/>
          <w:kern w:val="0"/>
          <w:sz w:val="24"/>
        </w:rPr>
        <w:t>。</w:t>
      </w:r>
      <w:r>
        <w:rPr>
          <w:rFonts w:ascii="宋体" w:hAnsi="宋体" w:cs="宋体"/>
          <w:kern w:val="0"/>
          <w:sz w:val="24"/>
        </w:rPr>
        <w:t>修满学分且</w:t>
      </w:r>
      <w:r>
        <w:rPr>
          <w:rFonts w:hint="eastAsia" w:ascii="宋体" w:hAnsi="宋体" w:cs="宋体"/>
          <w:kern w:val="0"/>
          <w:sz w:val="24"/>
        </w:rPr>
        <w:t>专业学位课平均</w:t>
      </w:r>
      <w:r>
        <w:rPr>
          <w:rFonts w:ascii="宋体" w:hAnsi="宋体" w:cs="宋体"/>
          <w:kern w:val="0"/>
          <w:sz w:val="24"/>
        </w:rPr>
        <w:t>成绩70分以上（含70分），方可申请学位。课程考试不及格或因客观情况未参加某门课程考试者，</w:t>
      </w:r>
      <w:r>
        <w:rPr>
          <w:rFonts w:hint="eastAsia" w:ascii="宋体" w:hAnsi="宋体" w:cs="宋体"/>
          <w:kern w:val="0"/>
          <w:sz w:val="24"/>
        </w:rPr>
        <w:t>须</w:t>
      </w:r>
      <w:r>
        <w:rPr>
          <w:rFonts w:ascii="宋体" w:hAnsi="宋体" w:cs="宋体"/>
          <w:kern w:val="0"/>
          <w:sz w:val="24"/>
        </w:rPr>
        <w:t>根据</w:t>
      </w:r>
      <w:r>
        <w:rPr>
          <w:rFonts w:hint="eastAsia" w:ascii="宋体" w:hAnsi="宋体" w:cs="宋体"/>
          <w:kern w:val="0"/>
          <w:sz w:val="24"/>
        </w:rPr>
        <w:t>学校</w:t>
      </w:r>
      <w:r>
        <w:rPr>
          <w:rFonts w:ascii="宋体" w:hAnsi="宋体" w:cs="宋体"/>
          <w:kern w:val="0"/>
          <w:sz w:val="24"/>
        </w:rPr>
        <w:t>规定补考或重修该课程。</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法律硕士研究生参加学校认定的创新创业、社会实践等活动并发表论文、获得奖励的，可以折算成相应学分。具体认定工作，由法律硕士研究生本人提出申请，经导师组全体成员过半数同意通过。</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（三）培养方式</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1.把知识教育同价值观教育、能力教育结合起来，把思想引导和价值观塑造融入每一门课程教学；</w:t>
      </w:r>
    </w:p>
    <w:p>
      <w:pPr>
        <w:widowControl/>
        <w:adjustRightInd w:val="0"/>
        <w:snapToGrid w:val="0"/>
        <w:spacing w:line="360" w:lineRule="auto"/>
        <w:ind w:firstLine="480" w:firstLineChars="200"/>
        <w:rPr>
          <w:rFonts w:ascii="宋体" w:hAnsi="宋体"/>
          <w:bCs/>
          <w:sz w:val="24"/>
        </w:rPr>
      </w:pPr>
      <w:r>
        <w:rPr>
          <w:rFonts w:hint="eastAsia" w:ascii="宋体" w:hAnsi="宋体"/>
          <w:bCs/>
          <w:sz w:val="24"/>
        </w:rPr>
        <w:t>2.重视和加强实践教学，注重实务能力的培养；</w:t>
      </w:r>
    </w:p>
    <w:p>
      <w:pPr>
        <w:widowControl/>
        <w:adjustRightInd w:val="0"/>
        <w:snapToGrid w:val="0"/>
        <w:spacing w:line="360" w:lineRule="auto"/>
        <w:ind w:firstLine="480" w:firstLineChars="200"/>
        <w:rPr>
          <w:kern w:val="0"/>
          <w:sz w:val="24"/>
        </w:rPr>
      </w:pPr>
      <w:r>
        <w:rPr>
          <w:rFonts w:hint="eastAsia" w:ascii="宋体" w:hAnsi="宋体"/>
          <w:bCs/>
          <w:sz w:val="24"/>
        </w:rPr>
        <w:t>3.</w:t>
      </w:r>
      <w:r>
        <w:rPr>
          <w:rFonts w:ascii="宋体" w:hAnsi="宋体"/>
          <w:bCs/>
          <w:sz w:val="24"/>
        </w:rPr>
        <w:t>成</w:t>
      </w:r>
      <w:r>
        <w:rPr>
          <w:kern w:val="0"/>
          <w:sz w:val="24"/>
        </w:rPr>
        <w:t>立导师组，采取集体培养与</w:t>
      </w:r>
      <w:r>
        <w:rPr>
          <w:rFonts w:hint="eastAsia"/>
          <w:kern w:val="0"/>
          <w:sz w:val="24"/>
        </w:rPr>
        <w:t>导师</w:t>
      </w:r>
      <w:r>
        <w:rPr>
          <w:kern w:val="0"/>
          <w:sz w:val="24"/>
        </w:rPr>
        <w:t>个人负责相结合的指导方式</w:t>
      </w:r>
      <w:r>
        <w:rPr>
          <w:rFonts w:hint="eastAsia"/>
          <w:kern w:val="0"/>
          <w:sz w:val="24"/>
        </w:rPr>
        <w:t>；</w:t>
      </w:r>
      <w:r>
        <w:rPr>
          <w:kern w:val="0"/>
          <w:sz w:val="24"/>
        </w:rPr>
        <w:t xml:space="preserve"> </w:t>
      </w:r>
    </w:p>
    <w:p>
      <w:pPr>
        <w:widowControl/>
        <w:adjustRightInd w:val="0"/>
        <w:snapToGrid w:val="0"/>
        <w:spacing w:line="360" w:lineRule="auto"/>
        <w:ind w:firstLine="480" w:firstLineChars="200"/>
        <w:rPr>
          <w:kern w:val="0"/>
          <w:sz w:val="24"/>
        </w:rPr>
      </w:pPr>
      <w:r>
        <w:rPr>
          <w:rFonts w:hint="eastAsia"/>
          <w:kern w:val="0"/>
          <w:sz w:val="24"/>
        </w:rPr>
        <w:t>4.</w:t>
      </w:r>
      <w:r>
        <w:rPr>
          <w:kern w:val="0"/>
          <w:sz w:val="24"/>
        </w:rPr>
        <w:t>加强教学与实践的联系和交流，聘请</w:t>
      </w:r>
      <w:r>
        <w:rPr>
          <w:rFonts w:hint="eastAsia"/>
          <w:kern w:val="0"/>
          <w:sz w:val="24"/>
        </w:rPr>
        <w:t>具有</w:t>
      </w:r>
      <w:r>
        <w:rPr>
          <w:kern w:val="0"/>
          <w:sz w:val="24"/>
        </w:rPr>
        <w:t>法律实务</w:t>
      </w:r>
      <w:r>
        <w:rPr>
          <w:rFonts w:hint="eastAsia"/>
          <w:kern w:val="0"/>
          <w:sz w:val="24"/>
        </w:rPr>
        <w:t>经验</w:t>
      </w:r>
      <w:r>
        <w:rPr>
          <w:kern w:val="0"/>
          <w:sz w:val="24"/>
        </w:rPr>
        <w:t>的专家参与教学及培养工作</w:t>
      </w:r>
      <w:r>
        <w:rPr>
          <w:rFonts w:hint="eastAsia"/>
          <w:kern w:val="0"/>
          <w:sz w:val="24"/>
        </w:rPr>
        <w:t>；</w:t>
      </w:r>
      <w:r>
        <w:rPr>
          <w:kern w:val="0"/>
          <w:sz w:val="24"/>
        </w:rPr>
        <w:t xml:space="preserve"> </w:t>
      </w:r>
    </w:p>
    <w:p>
      <w:pPr>
        <w:widowControl/>
        <w:adjustRightInd w:val="0"/>
        <w:snapToGrid w:val="0"/>
        <w:spacing w:line="360" w:lineRule="auto"/>
        <w:ind w:firstLine="480" w:firstLineChars="200"/>
        <w:rPr>
          <w:rFonts w:ascii="宋体" w:hAnsi="宋体"/>
          <w:kern w:val="0"/>
          <w:sz w:val="24"/>
        </w:rPr>
      </w:pPr>
      <w:r>
        <w:rPr>
          <w:rFonts w:hint="eastAsia"/>
          <w:kern w:val="0"/>
          <w:sz w:val="24"/>
        </w:rPr>
        <w:t>5.</w:t>
      </w:r>
      <w:r>
        <w:rPr>
          <w:kern w:val="0"/>
          <w:sz w:val="24"/>
        </w:rPr>
        <w:t>必修课的考核</w:t>
      </w:r>
      <w:r>
        <w:rPr>
          <w:rFonts w:hint="eastAsia"/>
          <w:kern w:val="0"/>
          <w:sz w:val="24"/>
        </w:rPr>
        <w:t>采取</w:t>
      </w:r>
      <w:r>
        <w:rPr>
          <w:kern w:val="0"/>
          <w:sz w:val="24"/>
        </w:rPr>
        <w:t>考试和考查两种</w:t>
      </w:r>
      <w:r>
        <w:rPr>
          <w:rFonts w:hint="eastAsia"/>
          <w:kern w:val="0"/>
          <w:sz w:val="24"/>
        </w:rPr>
        <w:t>方</w:t>
      </w:r>
      <w:r>
        <w:rPr>
          <w:kern w:val="0"/>
          <w:sz w:val="24"/>
        </w:rPr>
        <w:t>式</w:t>
      </w:r>
      <w:r>
        <w:rPr>
          <w:rFonts w:hint="eastAsia"/>
          <w:kern w:val="0"/>
          <w:sz w:val="24"/>
        </w:rPr>
        <w:t>。</w:t>
      </w:r>
    </w:p>
    <w:p>
      <w:pPr>
        <w:adjustRightInd w:val="0"/>
        <w:snapToGrid w:val="0"/>
        <w:spacing w:line="360" w:lineRule="auto"/>
        <w:rPr>
          <w:rFonts w:hAnsi="宋体"/>
          <w:b/>
          <w:sz w:val="24"/>
        </w:rPr>
      </w:pPr>
      <w:r>
        <w:rPr>
          <w:rFonts w:hint="eastAsia" w:hAnsi="宋体"/>
          <w:b/>
          <w:sz w:val="24"/>
        </w:rPr>
        <w:t>四、</w:t>
      </w:r>
      <w:r>
        <w:rPr>
          <w:rFonts w:hAnsi="宋体"/>
          <w:b/>
          <w:sz w:val="24"/>
        </w:rPr>
        <w:t>课程设置</w:t>
      </w:r>
      <w:r>
        <w:rPr>
          <w:rFonts w:hint="eastAsia" w:hAnsi="宋体"/>
          <w:b/>
          <w:sz w:val="24"/>
        </w:rPr>
        <w:t>、实践教学与训练</w:t>
      </w:r>
    </w:p>
    <w:tbl>
      <w:tblPr>
        <w:tblStyle w:val="7"/>
        <w:tblW w:w="9106" w:type="dxa"/>
        <w:tblInd w:w="135" w:type="dxa"/>
        <w:tblLayout w:type="fixed"/>
        <w:tblCellMar>
          <w:top w:w="0" w:type="dxa"/>
          <w:left w:w="108" w:type="dxa"/>
          <w:bottom w:w="0" w:type="dxa"/>
          <w:right w:w="108" w:type="dxa"/>
        </w:tblCellMar>
      </w:tblPr>
      <w:tblGrid>
        <w:gridCol w:w="452"/>
        <w:gridCol w:w="722"/>
        <w:gridCol w:w="1184"/>
        <w:gridCol w:w="3406"/>
        <w:gridCol w:w="630"/>
        <w:gridCol w:w="615"/>
        <w:gridCol w:w="718"/>
        <w:gridCol w:w="720"/>
        <w:gridCol w:w="659"/>
      </w:tblGrid>
      <w:tr>
        <w:tblPrEx>
          <w:tblCellMar>
            <w:top w:w="0" w:type="dxa"/>
            <w:left w:w="108" w:type="dxa"/>
            <w:bottom w:w="0" w:type="dxa"/>
            <w:right w:w="108" w:type="dxa"/>
          </w:tblCellMar>
        </w:tblPrEx>
        <w:trPr>
          <w:trHeight w:val="680" w:hRule="atLeast"/>
        </w:trPr>
        <w:tc>
          <w:tcPr>
            <w:tcW w:w="1174"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类别</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课程编号</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课</w:t>
            </w:r>
            <w:r>
              <w:rPr>
                <w:kern w:val="0"/>
                <w:szCs w:val="21"/>
              </w:rPr>
              <w:t xml:space="preserve"> </w:t>
            </w:r>
            <w:r>
              <w:rPr>
                <w:rFonts w:hAnsi="宋体"/>
                <w:kern w:val="0"/>
                <w:szCs w:val="21"/>
              </w:rPr>
              <w:t>程</w:t>
            </w:r>
            <w:r>
              <w:rPr>
                <w:kern w:val="0"/>
                <w:szCs w:val="21"/>
              </w:rPr>
              <w:t xml:space="preserve"> </w:t>
            </w:r>
            <w:r>
              <w:rPr>
                <w:rFonts w:hAnsi="宋体"/>
                <w:kern w:val="0"/>
                <w:szCs w:val="21"/>
              </w:rPr>
              <w:t>名</w:t>
            </w:r>
            <w:r>
              <w:rPr>
                <w:kern w:val="0"/>
                <w:szCs w:val="21"/>
              </w:rPr>
              <w:t xml:space="preserve"> </w:t>
            </w:r>
            <w:r>
              <w:rPr>
                <w:rFonts w:hAnsi="宋体"/>
                <w:kern w:val="0"/>
                <w:szCs w:val="21"/>
              </w:rPr>
              <w:t>称</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学时</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学分</w:t>
            </w:r>
          </w:p>
        </w:tc>
        <w:tc>
          <w:tcPr>
            <w:tcW w:w="718"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授课方式</w:t>
            </w:r>
          </w:p>
        </w:tc>
        <w:tc>
          <w:tcPr>
            <w:tcW w:w="72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考核方式</w:t>
            </w:r>
          </w:p>
        </w:tc>
        <w:tc>
          <w:tcPr>
            <w:tcW w:w="659"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备注</w:t>
            </w:r>
          </w:p>
        </w:tc>
      </w:tr>
      <w:tr>
        <w:tblPrEx>
          <w:tblCellMar>
            <w:top w:w="0" w:type="dxa"/>
            <w:left w:w="108" w:type="dxa"/>
            <w:bottom w:w="0" w:type="dxa"/>
            <w:right w:w="108" w:type="dxa"/>
          </w:tblCellMar>
        </w:tblPrEx>
        <w:trPr>
          <w:trHeight w:val="397" w:hRule="atLeast"/>
        </w:trPr>
        <w:tc>
          <w:tcPr>
            <w:tcW w:w="1174"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公共</w:t>
            </w:r>
          </w:p>
          <w:p>
            <w:pPr>
              <w:widowControl/>
              <w:spacing w:line="330" w:lineRule="atLeast"/>
              <w:jc w:val="center"/>
              <w:rPr>
                <w:kern w:val="0"/>
                <w:szCs w:val="21"/>
              </w:rPr>
            </w:pPr>
            <w:r>
              <w:rPr>
                <w:rFonts w:hint="eastAsia"/>
                <w:kern w:val="0"/>
                <w:szCs w:val="21"/>
              </w:rPr>
              <w:t>学位课</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S0000004</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szCs w:val="21"/>
              </w:rPr>
              <w:t>学位外语（英语）</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60</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2.0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117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30" w:lineRule="atLeast"/>
              <w:jc w:val="center"/>
              <w:rPr>
                <w:kern w:val="0"/>
                <w:szCs w:val="21"/>
              </w:rPr>
            </w:pP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S0000008</w:t>
            </w:r>
          </w:p>
        </w:tc>
        <w:tc>
          <w:tcPr>
            <w:tcW w:w="3406" w:type="dxa"/>
            <w:tcBorders>
              <w:top w:val="single" w:color="000000" w:sz="4" w:space="0"/>
              <w:left w:val="nil"/>
              <w:bottom w:val="single" w:color="000000" w:sz="4" w:space="0"/>
              <w:right w:val="single" w:color="000000" w:sz="4" w:space="0"/>
            </w:tcBorders>
            <w:vAlign w:val="center"/>
          </w:tcPr>
          <w:p>
            <w:pPr>
              <w:spacing w:line="360" w:lineRule="auto"/>
              <w:jc w:val="left"/>
              <w:rPr>
                <w:szCs w:val="21"/>
              </w:rPr>
            </w:pPr>
            <w:r>
              <w:rPr>
                <w:rFonts w:hAnsi="宋体"/>
                <w:szCs w:val="21"/>
              </w:rPr>
              <w:t>中国特色社会主义理论与实践研究</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1174" w:type="dxa"/>
            <w:gridSpan w:val="2"/>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S0000009</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马克思主义方法论</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restart"/>
            <w:tcBorders>
              <w:top w:val="nil"/>
              <w:left w:val="single" w:color="000000" w:sz="4" w:space="0"/>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专业学位课</w:t>
            </w:r>
          </w:p>
        </w:tc>
        <w:tc>
          <w:tcPr>
            <w:tcW w:w="722" w:type="dxa"/>
            <w:vMerge w:val="restart"/>
            <w:tcBorders>
              <w:top w:val="nil"/>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专业基础课</w:t>
            </w:r>
          </w:p>
        </w:tc>
        <w:tc>
          <w:tcPr>
            <w:tcW w:w="1184" w:type="dxa"/>
            <w:tcBorders>
              <w:top w:val="single" w:color="000000" w:sz="4" w:space="0"/>
              <w:left w:val="nil"/>
              <w:bottom w:val="single" w:color="000000" w:sz="4" w:space="0"/>
              <w:right w:val="single" w:color="000000" w:sz="4" w:space="0"/>
            </w:tcBorders>
          </w:tcPr>
          <w:p>
            <w:pPr>
              <w:widowControl/>
              <w:jc w:val="center"/>
              <w:textAlignment w:val="center"/>
              <w:rPr>
                <w:kern w:val="0"/>
                <w:szCs w:val="21"/>
              </w:rPr>
            </w:pPr>
            <w:r>
              <w:rPr>
                <w:kern w:val="0"/>
                <w:szCs w:val="21"/>
              </w:rPr>
              <w:t>S131</w:t>
            </w:r>
            <w:r>
              <w:rPr>
                <w:rFonts w:hint="eastAsia"/>
                <w:kern w:val="0"/>
                <w:szCs w:val="21"/>
              </w:rPr>
              <w:t>7</w:t>
            </w:r>
            <w:r>
              <w:rPr>
                <w:kern w:val="0"/>
                <w:szCs w:val="21"/>
              </w:rPr>
              <w:t>0</w:t>
            </w:r>
            <w:r>
              <w:rPr>
                <w:rFonts w:hint="eastAsia"/>
                <w:kern w:val="0"/>
                <w:szCs w:val="21"/>
              </w:rPr>
              <w:t>0</w:t>
            </w:r>
            <w:r>
              <w:rPr>
                <w:kern w:val="0"/>
                <w:szCs w:val="21"/>
              </w:rPr>
              <w:t>7</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民法专题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center"/>
              <w:textAlignment w:val="center"/>
              <w:rPr>
                <w:kern w:val="0"/>
                <w:szCs w:val="21"/>
              </w:rPr>
            </w:pPr>
            <w:r>
              <w:rPr>
                <w:kern w:val="0"/>
                <w:szCs w:val="21"/>
              </w:rPr>
              <w:t>S131</w:t>
            </w:r>
            <w:r>
              <w:rPr>
                <w:rFonts w:hint="eastAsia"/>
                <w:kern w:val="0"/>
                <w:szCs w:val="21"/>
              </w:rPr>
              <w:t>7</w:t>
            </w:r>
            <w:r>
              <w:rPr>
                <w:kern w:val="0"/>
                <w:szCs w:val="21"/>
              </w:rPr>
              <w:t>0</w:t>
            </w:r>
            <w:r>
              <w:rPr>
                <w:rFonts w:hint="eastAsia"/>
                <w:kern w:val="0"/>
                <w:szCs w:val="21"/>
              </w:rPr>
              <w:t>0</w:t>
            </w:r>
            <w:r>
              <w:rPr>
                <w:kern w:val="0"/>
                <w:szCs w:val="21"/>
              </w:rPr>
              <w:t>6</w:t>
            </w:r>
          </w:p>
        </w:tc>
        <w:tc>
          <w:tcPr>
            <w:tcW w:w="3406" w:type="dxa"/>
            <w:tcBorders>
              <w:top w:val="single" w:color="000000" w:sz="4" w:space="0"/>
              <w:left w:val="nil"/>
              <w:bottom w:val="single" w:color="000000" w:sz="4" w:space="0"/>
              <w:right w:val="single" w:color="000000" w:sz="4" w:space="0"/>
            </w:tcBorders>
          </w:tcPr>
          <w:p>
            <w:pPr>
              <w:widowControl/>
              <w:jc w:val="left"/>
              <w:rPr>
                <w:rFonts w:hAnsi="宋体"/>
                <w:kern w:val="0"/>
                <w:szCs w:val="21"/>
              </w:rPr>
            </w:pPr>
            <w:r>
              <w:rPr>
                <w:rFonts w:hAnsi="宋体"/>
                <w:kern w:val="0"/>
                <w:szCs w:val="21"/>
              </w:rPr>
              <w:t>刑法专题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rFonts w:hAnsi="宋体"/>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rFonts w:hAnsi="宋体"/>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center"/>
              <w:textAlignment w:val="center"/>
              <w:rPr>
                <w:kern w:val="0"/>
                <w:szCs w:val="21"/>
              </w:rPr>
            </w:pPr>
            <w:r>
              <w:rPr>
                <w:kern w:val="0"/>
                <w:szCs w:val="21"/>
              </w:rPr>
              <w:t>S1315019</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民事诉讼法专题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center"/>
              <w:textAlignment w:val="center"/>
              <w:rPr>
                <w:kern w:val="0"/>
                <w:szCs w:val="21"/>
              </w:rPr>
            </w:pPr>
            <w:r>
              <w:rPr>
                <w:kern w:val="0"/>
                <w:szCs w:val="21"/>
              </w:rPr>
              <w:t>S1315018</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刑事诉讼法专题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center"/>
              <w:textAlignment w:val="center"/>
              <w:rPr>
                <w:kern w:val="0"/>
                <w:szCs w:val="21"/>
              </w:rPr>
            </w:pPr>
            <w:r>
              <w:rPr>
                <w:kern w:val="0"/>
                <w:szCs w:val="21"/>
              </w:rPr>
              <w:t>S131</w:t>
            </w:r>
            <w:r>
              <w:rPr>
                <w:rFonts w:hint="eastAsia"/>
                <w:kern w:val="0"/>
                <w:szCs w:val="21"/>
              </w:rPr>
              <w:t>9</w:t>
            </w:r>
            <w:r>
              <w:rPr>
                <w:kern w:val="0"/>
                <w:szCs w:val="21"/>
              </w:rPr>
              <w:t>020</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行政法与行政诉讼</w:t>
            </w:r>
            <w:r>
              <w:rPr>
                <w:rFonts w:hint="eastAsia" w:hAnsi="宋体"/>
                <w:kern w:val="0"/>
                <w:szCs w:val="21"/>
              </w:rPr>
              <w:t>原理与实务</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54</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408"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restart"/>
            <w:tcBorders>
              <w:top w:val="nil"/>
              <w:left w:val="nil"/>
              <w:bottom w:val="single" w:color="000000" w:sz="4" w:space="0"/>
              <w:right w:val="single" w:color="000000" w:sz="4" w:space="0"/>
            </w:tcBorders>
            <w:vAlign w:val="center"/>
          </w:tcPr>
          <w:p>
            <w:pPr>
              <w:widowControl/>
              <w:spacing w:line="330" w:lineRule="atLeast"/>
              <w:jc w:val="center"/>
              <w:rPr>
                <w:kern w:val="0"/>
                <w:szCs w:val="21"/>
              </w:rPr>
            </w:pPr>
            <w:r>
              <w:rPr>
                <w:rFonts w:hAnsi="宋体"/>
                <w:kern w:val="0"/>
                <w:szCs w:val="21"/>
              </w:rPr>
              <w:t>专</w:t>
            </w:r>
          </w:p>
          <w:p>
            <w:pPr>
              <w:widowControl/>
              <w:spacing w:line="330" w:lineRule="atLeast"/>
              <w:jc w:val="center"/>
              <w:rPr>
                <w:kern w:val="0"/>
                <w:szCs w:val="21"/>
              </w:rPr>
            </w:pPr>
            <w:r>
              <w:rPr>
                <w:rFonts w:hAnsi="宋体"/>
                <w:kern w:val="0"/>
                <w:szCs w:val="21"/>
              </w:rPr>
              <w:t>业</w:t>
            </w:r>
          </w:p>
          <w:p>
            <w:pPr>
              <w:widowControl/>
              <w:spacing w:line="330" w:lineRule="atLeast"/>
              <w:jc w:val="center"/>
              <w:rPr>
                <w:kern w:val="0"/>
                <w:szCs w:val="21"/>
              </w:rPr>
            </w:pPr>
            <w:r>
              <w:rPr>
                <w:rFonts w:hAnsi="宋体"/>
                <w:kern w:val="0"/>
                <w:szCs w:val="21"/>
              </w:rPr>
              <w:t>课</w:t>
            </w:r>
          </w:p>
        </w:tc>
        <w:tc>
          <w:tcPr>
            <w:tcW w:w="1184" w:type="dxa"/>
            <w:tcBorders>
              <w:top w:val="single" w:color="000000" w:sz="4" w:space="0"/>
              <w:left w:val="nil"/>
              <w:right w:val="single" w:color="000000" w:sz="4" w:space="0"/>
            </w:tcBorders>
          </w:tcPr>
          <w:p>
            <w:pPr>
              <w:widowControl/>
              <w:jc w:val="center"/>
              <w:textAlignment w:val="bottom"/>
              <w:rPr>
                <w:kern w:val="0"/>
                <w:szCs w:val="21"/>
              </w:rPr>
            </w:pPr>
            <w:r>
              <w:rPr>
                <w:kern w:val="0"/>
                <w:szCs w:val="21"/>
              </w:rPr>
              <w:t>S13150</w:t>
            </w:r>
            <w:r>
              <w:rPr>
                <w:rFonts w:hint="eastAsia"/>
                <w:kern w:val="0"/>
                <w:szCs w:val="21"/>
              </w:rPr>
              <w:t>15</w:t>
            </w:r>
          </w:p>
        </w:tc>
        <w:tc>
          <w:tcPr>
            <w:tcW w:w="3406" w:type="dxa"/>
            <w:tcBorders>
              <w:top w:val="single" w:color="000000" w:sz="4" w:space="0"/>
              <w:left w:val="nil"/>
              <w:right w:val="single" w:color="000000" w:sz="4" w:space="0"/>
            </w:tcBorders>
            <w:vAlign w:val="center"/>
          </w:tcPr>
          <w:p>
            <w:pPr>
              <w:widowControl/>
              <w:jc w:val="left"/>
              <w:rPr>
                <w:kern w:val="0"/>
                <w:szCs w:val="21"/>
              </w:rPr>
            </w:pPr>
            <w:r>
              <w:rPr>
                <w:rFonts w:hAnsi="宋体"/>
                <w:kern w:val="0"/>
                <w:szCs w:val="21"/>
              </w:rPr>
              <w:t>法律职业伦理</w:t>
            </w:r>
          </w:p>
        </w:tc>
        <w:tc>
          <w:tcPr>
            <w:tcW w:w="630" w:type="dxa"/>
            <w:tcBorders>
              <w:top w:val="single" w:color="000000" w:sz="4" w:space="0"/>
              <w:left w:val="nil"/>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center"/>
              <w:textAlignment w:val="bottom"/>
              <w:rPr>
                <w:kern w:val="0"/>
                <w:szCs w:val="21"/>
              </w:rPr>
            </w:pPr>
            <w:r>
              <w:rPr>
                <w:kern w:val="0"/>
                <w:szCs w:val="21"/>
              </w:rPr>
              <w:t>S131</w:t>
            </w:r>
            <w:r>
              <w:rPr>
                <w:rFonts w:hint="eastAsia"/>
                <w:kern w:val="0"/>
                <w:szCs w:val="21"/>
              </w:rPr>
              <w:t>7</w:t>
            </w:r>
            <w:r>
              <w:rPr>
                <w:kern w:val="0"/>
                <w:szCs w:val="21"/>
              </w:rPr>
              <w:t>0</w:t>
            </w:r>
            <w:r>
              <w:rPr>
                <w:rFonts w:hint="eastAsia"/>
                <w:kern w:val="0"/>
                <w:szCs w:val="21"/>
              </w:rPr>
              <w:t>05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法律英语</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18</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1</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spacing w:line="330" w:lineRule="atLeast"/>
              <w:jc w:val="center"/>
              <w:rPr>
                <w:kern w:val="0"/>
                <w:szCs w:val="21"/>
              </w:rPr>
            </w:pPr>
            <w:r>
              <w:rPr>
                <w:kern w:val="0"/>
                <w:szCs w:val="21"/>
              </w:rPr>
              <w:t>S</w:t>
            </w:r>
            <w:r>
              <w:rPr>
                <w:rFonts w:hint="eastAsia"/>
                <w:kern w:val="0"/>
                <w:szCs w:val="21"/>
              </w:rPr>
              <w:t>1319001</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论文写作</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continue"/>
            <w:tcBorders>
              <w:top w:val="nil"/>
              <w:left w:val="single" w:color="000000" w:sz="4" w:space="0"/>
              <w:bottom w:val="single" w:color="000000" w:sz="4" w:space="0"/>
              <w:right w:val="single" w:color="000000" w:sz="4" w:space="0"/>
            </w:tcBorders>
            <w:vAlign w:val="center"/>
          </w:tcPr>
          <w:p>
            <w:pPr>
              <w:widowControl/>
              <w:jc w:val="center"/>
              <w:rPr>
                <w:kern w:val="0"/>
                <w:szCs w:val="21"/>
              </w:rPr>
            </w:pPr>
          </w:p>
        </w:tc>
        <w:tc>
          <w:tcPr>
            <w:tcW w:w="722" w:type="dxa"/>
            <w:vMerge w:val="continue"/>
            <w:tcBorders>
              <w:top w:val="nil"/>
              <w:left w:val="nil"/>
              <w:bottom w:val="single" w:color="000000" w:sz="4" w:space="0"/>
              <w:right w:val="single" w:color="000000" w:sz="4" w:space="0"/>
            </w:tcBorders>
            <w:vAlign w:val="center"/>
          </w:tcPr>
          <w:p>
            <w:pPr>
              <w:widowControl/>
              <w:jc w:val="center"/>
              <w:rPr>
                <w:kern w:val="0"/>
                <w:szCs w:val="21"/>
              </w:rPr>
            </w:pPr>
          </w:p>
        </w:tc>
        <w:tc>
          <w:tcPr>
            <w:tcW w:w="1184" w:type="dxa"/>
            <w:tcBorders>
              <w:top w:val="single" w:color="000000" w:sz="4" w:space="0"/>
              <w:left w:val="nil"/>
              <w:bottom w:val="single" w:color="000000" w:sz="4" w:space="0"/>
              <w:right w:val="single" w:color="000000" w:sz="4" w:space="0"/>
            </w:tcBorders>
          </w:tcPr>
          <w:p>
            <w:pPr>
              <w:widowControl/>
              <w:spacing w:line="330" w:lineRule="atLeast"/>
              <w:jc w:val="center"/>
              <w:rPr>
                <w:kern w:val="0"/>
                <w:szCs w:val="21"/>
              </w:rPr>
            </w:pPr>
            <w:r>
              <w:rPr>
                <w:rFonts w:hint="eastAsia"/>
                <w:kern w:val="0"/>
                <w:szCs w:val="21"/>
              </w:rPr>
              <w:t>S1319130</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参加本</w:t>
            </w:r>
            <w:r>
              <w:rPr>
                <w:rFonts w:hint="eastAsia" w:hAnsi="宋体"/>
                <w:kern w:val="0"/>
                <w:szCs w:val="21"/>
              </w:rPr>
              <w:t>专业</w:t>
            </w:r>
            <w:r>
              <w:rPr>
                <w:rFonts w:hAnsi="宋体"/>
                <w:kern w:val="0"/>
                <w:szCs w:val="21"/>
              </w:rPr>
              <w:t>学术活动和学术会议</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18</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int="eastAsia"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397" w:hRule="atLeast"/>
        </w:trPr>
        <w:tc>
          <w:tcPr>
            <w:tcW w:w="452" w:type="dxa"/>
            <w:vMerge w:val="restart"/>
            <w:tcBorders>
              <w:top w:val="nil"/>
              <w:left w:val="single" w:color="000000" w:sz="4" w:space="0"/>
              <w:right w:val="single" w:color="000000" w:sz="4" w:space="0"/>
            </w:tcBorders>
            <w:vAlign w:val="center"/>
          </w:tcPr>
          <w:p>
            <w:pPr>
              <w:widowControl/>
              <w:spacing w:line="330" w:lineRule="atLeast"/>
              <w:jc w:val="left"/>
              <w:rPr>
                <w:rFonts w:hAnsi="宋体"/>
                <w:kern w:val="0"/>
                <w:szCs w:val="21"/>
              </w:rPr>
            </w:pPr>
            <w:r>
              <w:rPr>
                <w:rFonts w:hAnsi="宋体"/>
                <w:kern w:val="0"/>
                <w:szCs w:val="21"/>
              </w:rPr>
              <w:t>非学位课</w:t>
            </w:r>
          </w:p>
        </w:tc>
        <w:tc>
          <w:tcPr>
            <w:tcW w:w="722" w:type="dxa"/>
            <w:vMerge w:val="restart"/>
            <w:tcBorders>
              <w:top w:val="nil"/>
              <w:left w:val="nil"/>
              <w:right w:val="single" w:color="000000" w:sz="4" w:space="0"/>
            </w:tcBorders>
            <w:tcMar>
              <w:top w:w="0" w:type="dxa"/>
              <w:left w:w="0" w:type="dxa"/>
              <w:bottom w:w="0" w:type="dxa"/>
              <w:right w:w="0" w:type="dxa"/>
            </w:tcMar>
            <w:vAlign w:val="center"/>
          </w:tcPr>
          <w:p>
            <w:pPr>
              <w:widowControl/>
              <w:spacing w:line="330" w:lineRule="atLeast"/>
              <w:jc w:val="left"/>
              <w:rPr>
                <w:rFonts w:hAnsi="宋体"/>
                <w:kern w:val="0"/>
                <w:szCs w:val="21"/>
              </w:rPr>
            </w:pPr>
            <w:r>
              <w:rPr>
                <w:rFonts w:hint="eastAsia" w:hAnsi="宋体"/>
                <w:kern w:val="0"/>
                <w:szCs w:val="21"/>
              </w:rPr>
              <w:t>推荐</w:t>
            </w:r>
          </w:p>
          <w:p>
            <w:pPr>
              <w:widowControl/>
              <w:spacing w:line="330" w:lineRule="atLeast"/>
              <w:jc w:val="left"/>
              <w:rPr>
                <w:kern w:val="0"/>
                <w:szCs w:val="21"/>
              </w:rPr>
            </w:pPr>
            <w:r>
              <w:rPr>
                <w:rFonts w:hAnsi="宋体"/>
                <w:kern w:val="0"/>
                <w:szCs w:val="21"/>
              </w:rPr>
              <w:t>选修课</w:t>
            </w: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S1315013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法理学专题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w:t>
            </w:r>
            <w:r>
              <w:rPr>
                <w:rFonts w:hint="eastAsia"/>
                <w:kern w:val="0"/>
                <w:szCs w:val="21"/>
              </w:rPr>
              <w:t>7</w:t>
            </w:r>
            <w:r>
              <w:rPr>
                <w:kern w:val="0"/>
                <w:szCs w:val="21"/>
              </w:rPr>
              <w:t>01</w:t>
            </w:r>
            <w:r>
              <w:rPr>
                <w:rFonts w:hint="eastAsia"/>
                <w:kern w:val="0"/>
                <w:szCs w:val="21"/>
              </w:rPr>
              <w:t>6</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宪法专题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S1315014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中国法制史专题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rFonts w:hint="eastAsia"/>
                <w:kern w:val="0"/>
                <w:szCs w:val="21"/>
              </w:rPr>
              <w:t>S1317017</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商法专题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S1315021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经济法专题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center"/>
              <w:rPr>
                <w:kern w:val="0"/>
                <w:szCs w:val="21"/>
              </w:rPr>
            </w:pPr>
            <w:r>
              <w:rPr>
                <w:kern w:val="0"/>
                <w:szCs w:val="21"/>
              </w:rPr>
              <w:t>S1315022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国际法专题</w:t>
            </w:r>
          </w:p>
        </w:tc>
        <w:tc>
          <w:tcPr>
            <w:tcW w:w="630"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S1315048</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知识产权法专题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S1317013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环境资源法专题</w:t>
            </w:r>
          </w:p>
        </w:tc>
        <w:tc>
          <w:tcPr>
            <w:tcW w:w="630" w:type="dxa"/>
            <w:tcBorders>
              <w:top w:val="single" w:color="000000" w:sz="4" w:space="0"/>
              <w:left w:val="nil"/>
              <w:bottom w:val="single" w:color="000000" w:sz="4" w:space="0"/>
              <w:right w:val="single" w:color="000000" w:sz="4" w:space="0"/>
            </w:tcBorders>
          </w:tcPr>
          <w:p>
            <w:pPr>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S1315054</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劳动与社会保障法专题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rStyle w:val="13"/>
                <w:color w:val="auto"/>
              </w:rPr>
            </w:pPr>
            <w:r>
              <w:rPr>
                <w:kern w:val="0"/>
                <w:szCs w:val="21"/>
              </w:rPr>
              <w:t>S1315055</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证据法专题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restart"/>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特色方向选修课</w:t>
            </w: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S1315047</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刑事疑难案例专题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考试</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S1315049</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物权法专题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S1315050</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侵权法专题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S1315051</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公司法专题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S1315052</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合同法专题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S1315053</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部门行政法专题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S1315056</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kern w:val="0"/>
                <w:szCs w:val="21"/>
              </w:rPr>
              <w:t>WTO</w:t>
            </w:r>
            <w:r>
              <w:rPr>
                <w:rFonts w:hAnsi="宋体"/>
                <w:kern w:val="0"/>
                <w:szCs w:val="21"/>
              </w:rPr>
              <w:t>法专题</w:t>
            </w:r>
          </w:p>
        </w:tc>
        <w:tc>
          <w:tcPr>
            <w:tcW w:w="630" w:type="dxa"/>
            <w:tcBorders>
              <w:top w:val="single" w:color="000000" w:sz="4" w:space="0"/>
              <w:left w:val="nil"/>
              <w:bottom w:val="single" w:color="000000" w:sz="4" w:space="0"/>
              <w:right w:val="single" w:color="000000" w:sz="4" w:space="0"/>
            </w:tcBorders>
          </w:tcPr>
          <w:p>
            <w:pPr>
              <w:jc w:val="center"/>
              <w:rPr>
                <w:szCs w:val="21"/>
              </w:rPr>
            </w:pPr>
            <w:r>
              <w:rPr>
                <w:kern w:val="0"/>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jc w:val="center"/>
              <w:rPr>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jc w:val="center"/>
              <w:rPr>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right w:val="single" w:color="000000" w:sz="4" w:space="0"/>
            </w:tcBorders>
            <w:vAlign w:val="center"/>
          </w:tcPr>
          <w:p>
            <w:pPr>
              <w:widowControl/>
              <w:jc w:val="left"/>
              <w:rPr>
                <w:kern w:val="0"/>
                <w:szCs w:val="21"/>
              </w:rPr>
            </w:pPr>
          </w:p>
        </w:tc>
        <w:tc>
          <w:tcPr>
            <w:tcW w:w="722" w:type="dxa"/>
            <w:vMerge w:val="continue"/>
            <w:tcBorders>
              <w:left w:val="nil"/>
              <w:bottom w:val="single" w:color="000000" w:sz="4" w:space="0"/>
              <w:right w:val="single" w:color="000000" w:sz="4" w:space="0"/>
            </w:tcBorders>
            <w:vAlign w:val="center"/>
          </w:tcPr>
          <w:p>
            <w:pPr>
              <w:widowControl/>
              <w:jc w:val="left"/>
              <w:rPr>
                <w:kern w:val="0"/>
                <w:szCs w:val="21"/>
              </w:rPr>
            </w:pPr>
          </w:p>
        </w:tc>
        <w:tc>
          <w:tcPr>
            <w:tcW w:w="1184" w:type="dxa"/>
            <w:tcBorders>
              <w:top w:val="single" w:color="000000" w:sz="4" w:space="0"/>
              <w:left w:val="nil"/>
              <w:bottom w:val="single" w:color="000000" w:sz="4" w:space="0"/>
              <w:right w:val="single" w:color="000000" w:sz="4" w:space="0"/>
            </w:tcBorders>
          </w:tcPr>
          <w:p>
            <w:pPr>
              <w:widowControl/>
              <w:jc w:val="left"/>
              <w:textAlignment w:val="bottom"/>
              <w:rPr>
                <w:kern w:val="0"/>
                <w:szCs w:val="21"/>
              </w:rPr>
            </w:pPr>
            <w:r>
              <w:rPr>
                <w:kern w:val="0"/>
                <w:szCs w:val="21"/>
              </w:rPr>
              <w:t>S1315036</w:t>
            </w:r>
          </w:p>
        </w:tc>
        <w:tc>
          <w:tcPr>
            <w:tcW w:w="3406" w:type="dxa"/>
            <w:tcBorders>
              <w:top w:val="single" w:color="000000" w:sz="4" w:space="0"/>
              <w:left w:val="nil"/>
              <w:bottom w:val="single" w:color="000000" w:sz="4" w:space="0"/>
              <w:right w:val="single" w:color="000000" w:sz="4" w:space="0"/>
            </w:tcBorders>
          </w:tcPr>
          <w:p>
            <w:pPr>
              <w:widowControl/>
              <w:jc w:val="left"/>
              <w:rPr>
                <w:kern w:val="0"/>
                <w:szCs w:val="21"/>
              </w:rPr>
            </w:pPr>
            <w:r>
              <w:rPr>
                <w:rFonts w:hAnsi="宋体"/>
                <w:kern w:val="0"/>
                <w:szCs w:val="21"/>
              </w:rPr>
              <w:t>法律方法论</w:t>
            </w:r>
          </w:p>
        </w:tc>
        <w:tc>
          <w:tcPr>
            <w:tcW w:w="630" w:type="dxa"/>
            <w:tcBorders>
              <w:top w:val="single" w:color="000000" w:sz="4" w:space="0"/>
              <w:left w:val="nil"/>
              <w:bottom w:val="single" w:color="000000" w:sz="4" w:space="0"/>
              <w:right w:val="single" w:color="000000" w:sz="4" w:space="0"/>
            </w:tcBorders>
          </w:tcPr>
          <w:p>
            <w:pPr>
              <w:jc w:val="center"/>
              <w:rPr>
                <w:szCs w:val="21"/>
              </w:rPr>
            </w:pPr>
            <w:r>
              <w:rPr>
                <w:szCs w:val="21"/>
              </w:rPr>
              <w:t>36</w:t>
            </w:r>
          </w:p>
        </w:tc>
        <w:tc>
          <w:tcPr>
            <w:tcW w:w="615" w:type="dxa"/>
            <w:tcBorders>
              <w:top w:val="single" w:color="000000" w:sz="4" w:space="0"/>
              <w:left w:val="nil"/>
              <w:bottom w:val="single" w:color="000000" w:sz="4" w:space="0"/>
              <w:right w:val="single" w:color="000000" w:sz="4" w:space="0"/>
            </w:tcBorders>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tcPr>
          <w:p>
            <w:pPr>
              <w:widowControl/>
              <w:jc w:val="center"/>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tcPr>
          <w:p>
            <w:pPr>
              <w:widowControl/>
              <w:jc w:val="center"/>
              <w:rPr>
                <w:kern w:val="0"/>
                <w:sz w:val="18"/>
                <w:szCs w:val="18"/>
              </w:rPr>
            </w:pPr>
          </w:p>
        </w:tc>
      </w:tr>
      <w:tr>
        <w:tblPrEx>
          <w:tblCellMar>
            <w:top w:w="0" w:type="dxa"/>
            <w:left w:w="108" w:type="dxa"/>
            <w:bottom w:w="0" w:type="dxa"/>
            <w:right w:w="108" w:type="dxa"/>
          </w:tblCellMar>
        </w:tblPrEx>
        <w:trPr>
          <w:trHeight w:val="397" w:hRule="atLeast"/>
        </w:trPr>
        <w:tc>
          <w:tcPr>
            <w:tcW w:w="452" w:type="dxa"/>
            <w:vMerge w:val="continue"/>
            <w:tcBorders>
              <w:left w:val="single" w:color="000000" w:sz="4" w:space="0"/>
              <w:bottom w:val="single" w:color="000000" w:sz="4" w:space="0"/>
              <w:right w:val="single" w:color="000000" w:sz="4" w:space="0"/>
            </w:tcBorders>
            <w:vAlign w:val="center"/>
          </w:tcPr>
          <w:p>
            <w:pPr>
              <w:widowControl/>
              <w:jc w:val="left"/>
              <w:rPr>
                <w:kern w:val="0"/>
                <w:szCs w:val="21"/>
              </w:rPr>
            </w:pPr>
          </w:p>
        </w:tc>
        <w:tc>
          <w:tcPr>
            <w:tcW w:w="722" w:type="dxa"/>
            <w:tcBorders>
              <w:top w:val="nil"/>
              <w:left w:val="nil"/>
              <w:bottom w:val="single" w:color="000000" w:sz="4" w:space="0"/>
              <w:right w:val="single" w:color="000000" w:sz="4" w:space="0"/>
            </w:tcBorders>
            <w:tcMar>
              <w:top w:w="0" w:type="dxa"/>
              <w:left w:w="0" w:type="dxa"/>
              <w:bottom w:w="0" w:type="dxa"/>
              <w:right w:w="0" w:type="dxa"/>
            </w:tcMar>
            <w:vAlign w:val="center"/>
          </w:tcPr>
          <w:p>
            <w:pPr>
              <w:widowControl/>
              <w:spacing w:line="330" w:lineRule="atLeast"/>
              <w:jc w:val="left"/>
              <w:rPr>
                <w:kern w:val="0"/>
                <w:szCs w:val="21"/>
              </w:rPr>
            </w:pPr>
            <w:r>
              <w:rPr>
                <w:rFonts w:hAnsi="宋体"/>
                <w:kern w:val="0"/>
                <w:szCs w:val="21"/>
              </w:rPr>
              <w:t>公共选修课</w:t>
            </w:r>
          </w:p>
        </w:tc>
        <w:tc>
          <w:tcPr>
            <w:tcW w:w="1184"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ascii="宋体" w:hAnsi="宋体" w:cs="宋体"/>
                <w:kern w:val="0"/>
                <w:szCs w:val="21"/>
              </w:rPr>
              <w:t>S0000024</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ascii="宋体" w:hAnsi="宋体" w:cs="宋体"/>
                <w:kern w:val="0"/>
                <w:szCs w:val="21"/>
              </w:rPr>
              <w:t>习近平谈治国理政</w:t>
            </w:r>
          </w:p>
        </w:tc>
        <w:tc>
          <w:tcPr>
            <w:tcW w:w="630"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20</w:t>
            </w: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kern w:val="0"/>
                <w:szCs w:val="21"/>
              </w:rPr>
              <w:t>1.0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r>
              <w:rPr>
                <w:rFonts w:hint="eastAsia"/>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考查</w:t>
            </w:r>
          </w:p>
        </w:tc>
        <w:tc>
          <w:tcPr>
            <w:tcW w:w="659"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restart"/>
            <w:tcBorders>
              <w:left w:val="single" w:color="000000" w:sz="4" w:space="0"/>
              <w:right w:val="single" w:color="000000" w:sz="4" w:space="0"/>
            </w:tcBorders>
            <w:vAlign w:val="center"/>
          </w:tcPr>
          <w:p>
            <w:pPr>
              <w:jc w:val="center"/>
              <w:rPr>
                <w:kern w:val="0"/>
                <w:szCs w:val="21"/>
              </w:rPr>
            </w:pPr>
            <w:r>
              <w:rPr>
                <w:rFonts w:hint="eastAsia"/>
                <w:kern w:val="0"/>
                <w:szCs w:val="21"/>
              </w:rPr>
              <w:t>实践教学与训练</w:t>
            </w: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w:t>
            </w:r>
            <w:r>
              <w:rPr>
                <w:rFonts w:hint="eastAsia"/>
                <w:kern w:val="0"/>
                <w:szCs w:val="21"/>
              </w:rPr>
              <w:t>7009</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法律写作</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S1317014</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法律检索</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w:t>
            </w:r>
            <w:r>
              <w:rPr>
                <w:rFonts w:hint="eastAsia"/>
                <w:kern w:val="0"/>
                <w:szCs w:val="21"/>
              </w:rPr>
              <w:t>7</w:t>
            </w:r>
            <w:r>
              <w:rPr>
                <w:kern w:val="0"/>
                <w:szCs w:val="21"/>
              </w:rPr>
              <w:t>0</w:t>
            </w:r>
            <w:r>
              <w:rPr>
                <w:rFonts w:hint="eastAsia"/>
                <w:kern w:val="0"/>
                <w:szCs w:val="21"/>
              </w:rPr>
              <w:t>10</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模拟法庭训练</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54</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vMerge w:val="continue"/>
            <w:tcBorders>
              <w:left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S1315027</w:t>
            </w:r>
          </w:p>
        </w:tc>
        <w:tc>
          <w:tcPr>
            <w:tcW w:w="3406" w:type="dxa"/>
            <w:tcBorders>
              <w:top w:val="single" w:color="000000" w:sz="4" w:space="0"/>
              <w:left w:val="nil"/>
              <w:bottom w:val="single" w:color="000000" w:sz="4" w:space="0"/>
              <w:right w:val="single" w:color="000000" w:sz="4" w:space="0"/>
            </w:tcBorders>
            <w:vAlign w:val="bottom"/>
          </w:tcPr>
          <w:p>
            <w:pPr>
              <w:widowControl/>
              <w:jc w:val="left"/>
              <w:textAlignment w:val="bottom"/>
              <w:rPr>
                <w:kern w:val="0"/>
                <w:szCs w:val="21"/>
              </w:rPr>
            </w:pPr>
            <w:r>
              <w:rPr>
                <w:rFonts w:hAnsi="宋体"/>
                <w:kern w:val="0"/>
                <w:szCs w:val="21"/>
              </w:rPr>
              <w:t>法律谈判</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36</w:t>
            </w:r>
          </w:p>
        </w:tc>
        <w:tc>
          <w:tcPr>
            <w:tcW w:w="615"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kern w:val="0"/>
                <w:szCs w:val="21"/>
              </w:rPr>
              <w:t>2</w:t>
            </w:r>
            <w:r>
              <w:rPr>
                <w:rFonts w:hint="eastAsia"/>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讲授</w:t>
            </w:r>
          </w:p>
        </w:tc>
        <w:tc>
          <w:tcPr>
            <w:tcW w:w="72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center"/>
              <w:rPr>
                <w:kern w:val="0"/>
                <w:szCs w:val="21"/>
              </w:rPr>
            </w:pPr>
          </w:p>
        </w:tc>
      </w:tr>
      <w:tr>
        <w:tblPrEx>
          <w:tblCellMar>
            <w:top w:w="0" w:type="dxa"/>
            <w:left w:w="108" w:type="dxa"/>
            <w:bottom w:w="0" w:type="dxa"/>
            <w:right w:w="108" w:type="dxa"/>
          </w:tblCellMar>
        </w:tblPrEx>
        <w:trPr>
          <w:trHeight w:val="285" w:hRule="atLeast"/>
        </w:trPr>
        <w:tc>
          <w:tcPr>
            <w:tcW w:w="1174" w:type="dxa"/>
            <w:gridSpan w:val="2"/>
            <w:tcBorders>
              <w:left w:val="single" w:color="000000" w:sz="4" w:space="0"/>
              <w:bottom w:val="single" w:color="000000" w:sz="4" w:space="0"/>
              <w:right w:val="single" w:color="000000" w:sz="4" w:space="0"/>
            </w:tcBorders>
            <w:vAlign w:val="center"/>
          </w:tcPr>
          <w:p>
            <w:pPr>
              <w:jc w:val="center"/>
              <w:rPr>
                <w:kern w:val="0"/>
                <w:sz w:val="18"/>
                <w:szCs w:val="18"/>
              </w:rPr>
            </w:pPr>
          </w:p>
        </w:tc>
        <w:tc>
          <w:tcPr>
            <w:tcW w:w="1184"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r>
              <w:rPr>
                <w:rFonts w:hint="eastAsia"/>
                <w:kern w:val="0"/>
                <w:szCs w:val="21"/>
              </w:rPr>
              <w:t>S1317012</w:t>
            </w:r>
          </w:p>
        </w:tc>
        <w:tc>
          <w:tcPr>
            <w:tcW w:w="3406"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int="eastAsia" w:ascii="宋体" w:hAnsi="宋体"/>
                <w:szCs w:val="21"/>
              </w:rPr>
              <w:t>专业实践环节（不少于6个月）</w:t>
            </w:r>
          </w:p>
        </w:tc>
        <w:tc>
          <w:tcPr>
            <w:tcW w:w="630" w:type="dxa"/>
            <w:tcBorders>
              <w:top w:val="single" w:color="000000" w:sz="4" w:space="0"/>
              <w:left w:val="nil"/>
              <w:bottom w:val="single" w:color="000000" w:sz="4" w:space="0"/>
              <w:right w:val="single" w:color="000000" w:sz="4" w:space="0"/>
            </w:tcBorders>
            <w:vAlign w:val="center"/>
          </w:tcPr>
          <w:p>
            <w:pPr>
              <w:widowControl/>
              <w:jc w:val="center"/>
              <w:rPr>
                <w:kern w:val="0"/>
                <w:szCs w:val="21"/>
              </w:rPr>
            </w:pPr>
          </w:p>
        </w:tc>
        <w:tc>
          <w:tcPr>
            <w:tcW w:w="615" w:type="dxa"/>
            <w:tcBorders>
              <w:top w:val="single" w:color="000000" w:sz="4" w:space="0"/>
              <w:left w:val="nil"/>
              <w:bottom w:val="single" w:color="000000" w:sz="4" w:space="0"/>
              <w:right w:val="single" w:color="000000" w:sz="4" w:space="0"/>
            </w:tcBorders>
            <w:vAlign w:val="center"/>
          </w:tcPr>
          <w:p>
            <w:pPr>
              <w:widowControl/>
              <w:spacing w:line="330" w:lineRule="atLeast"/>
              <w:jc w:val="center"/>
              <w:rPr>
                <w:kern w:val="0"/>
                <w:szCs w:val="21"/>
              </w:rPr>
            </w:pPr>
            <w:r>
              <w:rPr>
                <w:rFonts w:hint="eastAsia"/>
                <w:kern w:val="0"/>
                <w:szCs w:val="21"/>
              </w:rPr>
              <w:t>6</w:t>
            </w:r>
            <w:r>
              <w:rPr>
                <w:kern w:val="0"/>
                <w:szCs w:val="21"/>
              </w:rPr>
              <w:t>.0</w:t>
            </w:r>
          </w:p>
        </w:tc>
        <w:tc>
          <w:tcPr>
            <w:tcW w:w="718" w:type="dxa"/>
            <w:tcBorders>
              <w:top w:val="single" w:color="000000" w:sz="4" w:space="0"/>
              <w:left w:val="nil"/>
              <w:bottom w:val="single" w:color="000000" w:sz="4" w:space="0"/>
              <w:right w:val="single" w:color="000000" w:sz="4" w:space="0"/>
            </w:tcBorders>
            <w:vAlign w:val="center"/>
          </w:tcPr>
          <w:p>
            <w:pPr>
              <w:widowControl/>
              <w:jc w:val="left"/>
              <w:rPr>
                <w:kern w:val="0"/>
                <w:szCs w:val="21"/>
              </w:rPr>
            </w:pPr>
          </w:p>
        </w:tc>
        <w:tc>
          <w:tcPr>
            <w:tcW w:w="720" w:type="dxa"/>
            <w:tcBorders>
              <w:top w:val="single" w:color="000000" w:sz="4" w:space="0"/>
              <w:left w:val="nil"/>
              <w:bottom w:val="single" w:color="000000" w:sz="4" w:space="0"/>
              <w:right w:val="single" w:color="000000" w:sz="4" w:space="0"/>
            </w:tcBorders>
            <w:vAlign w:val="center"/>
          </w:tcPr>
          <w:p>
            <w:pPr>
              <w:widowControl/>
              <w:spacing w:line="330" w:lineRule="atLeast"/>
              <w:jc w:val="left"/>
              <w:rPr>
                <w:kern w:val="0"/>
                <w:szCs w:val="21"/>
              </w:rPr>
            </w:pPr>
            <w:r>
              <w:rPr>
                <w:rFonts w:hAnsi="宋体"/>
                <w:kern w:val="0"/>
                <w:szCs w:val="21"/>
              </w:rPr>
              <w:t>考查</w:t>
            </w:r>
          </w:p>
        </w:tc>
        <w:tc>
          <w:tcPr>
            <w:tcW w:w="659" w:type="dxa"/>
            <w:tcBorders>
              <w:top w:val="single" w:color="000000" w:sz="4" w:space="0"/>
              <w:bottom w:val="single" w:color="000000" w:sz="4" w:space="0"/>
              <w:right w:val="single" w:color="000000" w:sz="4" w:space="0"/>
            </w:tcBorders>
            <w:vAlign w:val="center"/>
          </w:tcPr>
          <w:p>
            <w:pPr>
              <w:widowControl/>
              <w:jc w:val="left"/>
              <w:rPr>
                <w:kern w:val="0"/>
                <w:szCs w:val="21"/>
              </w:rPr>
            </w:pPr>
          </w:p>
        </w:tc>
      </w:tr>
    </w:tbl>
    <w:p>
      <w:pPr>
        <w:spacing w:line="360" w:lineRule="auto"/>
        <w:ind w:firstLine="480" w:firstLineChars="200"/>
        <w:rPr>
          <w:kern w:val="0"/>
          <w:sz w:val="24"/>
        </w:rPr>
      </w:pPr>
    </w:p>
    <w:p>
      <w:pPr>
        <w:spacing w:line="360" w:lineRule="auto"/>
        <w:ind w:firstLine="480" w:firstLineChars="200"/>
        <w:rPr>
          <w:kern w:val="0"/>
          <w:sz w:val="24"/>
        </w:rPr>
      </w:pPr>
      <w:r>
        <w:rPr>
          <w:rFonts w:hint="eastAsia"/>
          <w:kern w:val="0"/>
          <w:sz w:val="24"/>
        </w:rPr>
        <w:t>法律写作、法律检索、法律谈判、模拟法庭等实践教学与训练可采取案例研习、法律诊所等方式进行。模拟法庭（包括模拟仲裁、模拟调解等）由本校教师组织，校外法律实务专家辅助指导。专业实践环节</w:t>
      </w:r>
      <w:r>
        <w:rPr>
          <w:kern w:val="0"/>
          <w:sz w:val="24"/>
        </w:rPr>
        <w:t>在法院、检察院、律师事务所、公证处等司法实</w:t>
      </w:r>
      <w:r>
        <w:rPr>
          <w:rFonts w:hint="eastAsia"/>
          <w:kern w:val="0"/>
          <w:sz w:val="24"/>
        </w:rPr>
        <w:t>务</w:t>
      </w:r>
      <w:r>
        <w:rPr>
          <w:kern w:val="0"/>
          <w:sz w:val="24"/>
        </w:rPr>
        <w:t>单位或政府法制部门、企事业单位</w:t>
      </w:r>
      <w:r>
        <w:rPr>
          <w:rFonts w:hint="eastAsia"/>
          <w:kern w:val="0"/>
          <w:sz w:val="24"/>
        </w:rPr>
        <w:t>法务</w:t>
      </w:r>
      <w:r>
        <w:rPr>
          <w:kern w:val="0"/>
          <w:sz w:val="24"/>
        </w:rPr>
        <w:t>工作部门</w:t>
      </w:r>
      <w:r>
        <w:rPr>
          <w:rFonts w:hint="eastAsia"/>
          <w:kern w:val="0"/>
          <w:sz w:val="24"/>
        </w:rPr>
        <w:t>进行，时间不少于6个月，统一安排在第二学年（含第一学年暑假、寒假），可分阶段完成。</w:t>
      </w:r>
    </w:p>
    <w:p>
      <w:pPr>
        <w:spacing w:line="360" w:lineRule="auto"/>
        <w:ind w:firstLine="480" w:firstLineChars="200"/>
        <w:rPr>
          <w:kern w:val="0"/>
          <w:sz w:val="24"/>
        </w:rPr>
      </w:pPr>
      <w:r>
        <w:rPr>
          <w:rFonts w:hint="eastAsia"/>
          <w:kern w:val="0"/>
          <w:sz w:val="24"/>
        </w:rPr>
        <w:t>定向研究生的实践教学与训练，参照以上要求，可在定向单位进行。</w:t>
      </w:r>
    </w:p>
    <w:p>
      <w:pPr>
        <w:numPr>
          <w:ilvl w:val="0"/>
          <w:numId w:val="1"/>
        </w:numPr>
        <w:spacing w:line="360" w:lineRule="auto"/>
        <w:rPr>
          <w:rFonts w:hAnsi="宋体"/>
          <w:b/>
          <w:sz w:val="24"/>
        </w:rPr>
      </w:pPr>
      <w:r>
        <w:rPr>
          <w:rFonts w:hAnsi="宋体"/>
          <w:b/>
          <w:sz w:val="24"/>
        </w:rPr>
        <w:t>开题报告</w:t>
      </w:r>
    </w:p>
    <w:p>
      <w:pPr>
        <w:widowControl/>
        <w:adjustRightInd w:val="0"/>
        <w:snapToGrid w:val="0"/>
        <w:spacing w:line="360" w:lineRule="auto"/>
        <w:ind w:firstLine="482"/>
        <w:jc w:val="left"/>
        <w:rPr>
          <w:rFonts w:cs="&amp;quot" w:asciiTheme="minorEastAsia" w:hAnsiTheme="minorEastAsia" w:eastAsiaTheme="minorEastAsia"/>
          <w:kern w:val="0"/>
          <w:sz w:val="24"/>
        </w:rPr>
      </w:pPr>
      <w:r>
        <w:rPr>
          <w:rFonts w:cs="&amp;quot" w:asciiTheme="minorEastAsia" w:hAnsiTheme="minorEastAsia" w:eastAsiaTheme="minorEastAsia"/>
          <w:kern w:val="0"/>
          <w:sz w:val="24"/>
        </w:rPr>
        <w:t>开题报告在第三学期</w:t>
      </w:r>
      <w:r>
        <w:rPr>
          <w:rFonts w:hint="eastAsia" w:cs="&amp;quot" w:asciiTheme="minorEastAsia" w:hAnsiTheme="minorEastAsia" w:eastAsiaTheme="minorEastAsia"/>
          <w:kern w:val="0"/>
          <w:sz w:val="24"/>
        </w:rPr>
        <w:t>进行</w:t>
      </w:r>
      <w:r>
        <w:rPr>
          <w:rFonts w:cs="&amp;quot" w:asciiTheme="minorEastAsia" w:hAnsiTheme="minorEastAsia" w:eastAsiaTheme="minorEastAsia"/>
          <w:kern w:val="0"/>
          <w:sz w:val="24"/>
        </w:rPr>
        <w:t>。选题要经过充分思考，并征得指导教师同意。开题报告不得少于5000字</w:t>
      </w:r>
      <w:r>
        <w:rPr>
          <w:rFonts w:hint="eastAsia" w:cs="&amp;quot" w:asciiTheme="minorEastAsia" w:hAnsiTheme="minorEastAsia" w:eastAsiaTheme="minorEastAsia"/>
          <w:kern w:val="0"/>
          <w:sz w:val="24"/>
        </w:rPr>
        <w:t>，</w:t>
      </w:r>
      <w:r>
        <w:rPr>
          <w:rFonts w:cs="&amp;quot" w:asciiTheme="minorEastAsia" w:hAnsiTheme="minorEastAsia" w:eastAsiaTheme="minorEastAsia"/>
          <w:kern w:val="0"/>
          <w:sz w:val="24"/>
        </w:rPr>
        <w:t>主要内容包括选题的背景、目的、意义，基本观点和逻辑结构，文献综述等。</w:t>
      </w:r>
    </w:p>
    <w:p>
      <w:pPr>
        <w:widowControl/>
        <w:adjustRightInd w:val="0"/>
        <w:snapToGrid w:val="0"/>
        <w:spacing w:line="360" w:lineRule="auto"/>
        <w:ind w:firstLine="482"/>
        <w:jc w:val="left"/>
        <w:rPr>
          <w:rFonts w:cs="&amp;quot" w:asciiTheme="minorEastAsia" w:hAnsiTheme="minorEastAsia" w:eastAsiaTheme="minorEastAsia"/>
          <w:kern w:val="0"/>
          <w:sz w:val="24"/>
          <w:highlight w:val="none"/>
        </w:rPr>
      </w:pPr>
      <w:r>
        <w:rPr>
          <w:rFonts w:hint="eastAsia"/>
          <w:color w:val="000000"/>
          <w:kern w:val="0"/>
          <w:sz w:val="24"/>
          <w:szCs w:val="21"/>
          <w:highlight w:val="none"/>
        </w:rPr>
        <w:t>开题报告通过后方可进入论文撰写阶段，并应按照开题报告内容，实施论文撰写工作，不得推迟或更改。</w:t>
      </w:r>
    </w:p>
    <w:p>
      <w:pPr>
        <w:widowControl/>
        <w:adjustRightInd w:val="0"/>
        <w:snapToGrid w:val="0"/>
        <w:spacing w:line="360" w:lineRule="auto"/>
        <w:ind w:firstLine="482"/>
        <w:jc w:val="left"/>
        <w:rPr>
          <w:rFonts w:cs="&amp;quot" w:asciiTheme="minorEastAsia" w:hAnsiTheme="minorEastAsia" w:eastAsiaTheme="minorEastAsia"/>
          <w:kern w:val="0"/>
          <w:sz w:val="24"/>
          <w:highlight w:val="none"/>
        </w:rPr>
      </w:pPr>
      <w:r>
        <w:rPr>
          <w:rFonts w:hint="eastAsia"/>
          <w:color w:val="000000"/>
          <w:kern w:val="0"/>
          <w:sz w:val="24"/>
          <w:szCs w:val="21"/>
          <w:highlight w:val="none"/>
        </w:rPr>
        <w:t>根据</w:t>
      </w:r>
      <w:r>
        <w:rPr>
          <w:color w:val="000000"/>
          <w:kern w:val="0"/>
          <w:sz w:val="24"/>
          <w:szCs w:val="21"/>
          <w:highlight w:val="none"/>
        </w:rPr>
        <w:t>《</w:t>
      </w:r>
      <w:r>
        <w:rPr>
          <w:rFonts w:hint="eastAsia"/>
          <w:color w:val="000000"/>
          <w:kern w:val="0"/>
          <w:sz w:val="24"/>
          <w:szCs w:val="21"/>
          <w:highlight w:val="none"/>
        </w:rPr>
        <w:t>国务院学</w:t>
      </w:r>
      <w:bookmarkStart w:id="0" w:name="_GoBack"/>
      <w:bookmarkEnd w:id="0"/>
      <w:r>
        <w:rPr>
          <w:rFonts w:hint="eastAsia"/>
          <w:color w:val="000000"/>
          <w:kern w:val="0"/>
          <w:sz w:val="24"/>
          <w:szCs w:val="21"/>
          <w:highlight w:val="none"/>
        </w:rPr>
        <w:t>位委员会、</w:t>
      </w:r>
      <w:r>
        <w:rPr>
          <w:color w:val="000000"/>
          <w:kern w:val="0"/>
          <w:sz w:val="24"/>
          <w:szCs w:val="21"/>
          <w:highlight w:val="none"/>
        </w:rPr>
        <w:t>教育部</w:t>
      </w:r>
      <w:r>
        <w:rPr>
          <w:rFonts w:hint="eastAsia"/>
          <w:color w:val="000000"/>
          <w:kern w:val="0"/>
          <w:sz w:val="24"/>
          <w:szCs w:val="21"/>
          <w:highlight w:val="none"/>
        </w:rPr>
        <w:t>、国家保密局 涉密研究生与涉密学位论文管理办法</w:t>
      </w:r>
      <w:r>
        <w:rPr>
          <w:color w:val="000000"/>
          <w:kern w:val="0"/>
          <w:sz w:val="24"/>
          <w:szCs w:val="21"/>
          <w:highlight w:val="none"/>
        </w:rPr>
        <w:t>》（</w:t>
      </w:r>
      <w:r>
        <w:rPr>
          <w:rFonts w:hint="eastAsia"/>
          <w:color w:val="000000"/>
          <w:kern w:val="0"/>
          <w:sz w:val="24"/>
          <w:szCs w:val="21"/>
          <w:highlight w:val="none"/>
        </w:rPr>
        <w:t>学位</w:t>
      </w:r>
      <w:r>
        <w:rPr>
          <w:color w:val="000000"/>
          <w:kern w:val="0"/>
          <w:sz w:val="24"/>
          <w:szCs w:val="21"/>
          <w:highlight w:val="none"/>
        </w:rPr>
        <w:t>〔201</w:t>
      </w:r>
      <w:r>
        <w:rPr>
          <w:rFonts w:hint="eastAsia"/>
          <w:color w:val="000000"/>
          <w:kern w:val="0"/>
          <w:sz w:val="24"/>
          <w:szCs w:val="21"/>
          <w:highlight w:val="none"/>
        </w:rPr>
        <w:t>6</w:t>
      </w:r>
      <w:r>
        <w:rPr>
          <w:color w:val="000000"/>
          <w:kern w:val="0"/>
          <w:sz w:val="24"/>
          <w:szCs w:val="21"/>
          <w:highlight w:val="none"/>
        </w:rPr>
        <w:t>〕</w:t>
      </w:r>
      <w:r>
        <w:rPr>
          <w:rFonts w:hint="eastAsia"/>
          <w:color w:val="000000"/>
          <w:kern w:val="0"/>
          <w:sz w:val="24"/>
          <w:szCs w:val="21"/>
          <w:highlight w:val="none"/>
        </w:rPr>
        <w:t>27</w:t>
      </w:r>
      <w:r>
        <w:rPr>
          <w:color w:val="000000"/>
          <w:kern w:val="0"/>
          <w:sz w:val="24"/>
          <w:szCs w:val="21"/>
          <w:highlight w:val="none"/>
        </w:rPr>
        <w:t>号）规定，硕士学位论文</w:t>
      </w:r>
      <w:r>
        <w:rPr>
          <w:rFonts w:hint="eastAsia"/>
          <w:color w:val="000000"/>
          <w:kern w:val="0"/>
          <w:sz w:val="24"/>
          <w:szCs w:val="21"/>
          <w:highlight w:val="none"/>
        </w:rPr>
        <w:t>确定涉密论文，应在开题前，由研究生本人提出申请、导师确认，按照相关程序审查批准。</w:t>
      </w:r>
    </w:p>
    <w:p>
      <w:pPr>
        <w:widowControl/>
        <w:adjustRightInd w:val="0"/>
        <w:snapToGrid w:val="0"/>
        <w:spacing w:line="360" w:lineRule="auto"/>
        <w:ind w:firstLine="482"/>
        <w:jc w:val="left"/>
        <w:rPr>
          <w:rFonts w:cs="&amp;quot" w:asciiTheme="minorEastAsia" w:hAnsiTheme="minorEastAsia" w:eastAsiaTheme="minorEastAsia"/>
          <w:sz w:val="24"/>
        </w:rPr>
      </w:pPr>
      <w:r>
        <w:rPr>
          <w:rFonts w:hint="eastAsia" w:cs="&amp;quot" w:asciiTheme="minorEastAsia" w:hAnsiTheme="minorEastAsia" w:eastAsiaTheme="minorEastAsia"/>
          <w:kern w:val="0"/>
          <w:sz w:val="24"/>
        </w:rPr>
        <w:t>开题报告未获通过的，1个月内可以申请重新开题。</w:t>
      </w:r>
    </w:p>
    <w:p>
      <w:pPr>
        <w:widowControl/>
        <w:adjustRightInd w:val="0"/>
        <w:snapToGrid w:val="0"/>
        <w:spacing w:line="360" w:lineRule="auto"/>
        <w:jc w:val="left"/>
        <w:rPr>
          <w:b/>
          <w:sz w:val="24"/>
        </w:rPr>
      </w:pPr>
      <w:r>
        <w:rPr>
          <w:rFonts w:hint="eastAsia" w:hAnsi="宋体"/>
          <w:b/>
          <w:sz w:val="24"/>
        </w:rPr>
        <w:t>六、</w:t>
      </w:r>
      <w:r>
        <w:rPr>
          <w:rFonts w:hAnsi="宋体"/>
          <w:b/>
          <w:sz w:val="24"/>
        </w:rPr>
        <w:t>中期考核</w:t>
      </w:r>
    </w:p>
    <w:p>
      <w:pPr>
        <w:spacing w:line="360" w:lineRule="auto"/>
        <w:ind w:firstLine="480" w:firstLineChars="200"/>
        <w:rPr>
          <w:rFonts w:cs="&amp;quot" w:asciiTheme="minorEastAsia" w:hAnsiTheme="minorEastAsia" w:eastAsiaTheme="minorEastAsia"/>
          <w:kern w:val="0"/>
          <w:sz w:val="24"/>
        </w:rPr>
      </w:pPr>
      <w:r>
        <w:rPr>
          <w:rFonts w:cs="&amp;quot" w:asciiTheme="minorEastAsia" w:hAnsiTheme="minorEastAsia" w:eastAsiaTheme="minorEastAsia"/>
          <w:kern w:val="0"/>
          <w:sz w:val="24"/>
        </w:rPr>
        <w:t>中期考核在第四学期进行。根据课程学习的学分是否满足要求及开题报告情况，决定是否进入学位论文阶段。</w:t>
      </w:r>
    </w:p>
    <w:p>
      <w:pPr>
        <w:spacing w:line="360" w:lineRule="auto"/>
        <w:rPr>
          <w:b/>
          <w:sz w:val="24"/>
        </w:rPr>
      </w:pPr>
      <w:r>
        <w:rPr>
          <w:rFonts w:hint="eastAsia" w:hAnsi="宋体"/>
          <w:b/>
          <w:sz w:val="24"/>
        </w:rPr>
        <w:t>七、</w:t>
      </w:r>
      <w:r>
        <w:rPr>
          <w:rFonts w:hAnsi="宋体"/>
          <w:b/>
          <w:sz w:val="24"/>
        </w:rPr>
        <w:t>学位论文</w:t>
      </w:r>
    </w:p>
    <w:p>
      <w:pPr>
        <w:widowControl/>
        <w:adjustRightInd w:val="0"/>
        <w:snapToGrid w:val="0"/>
        <w:spacing w:line="360" w:lineRule="auto"/>
        <w:ind w:firstLine="480" w:firstLineChars="200"/>
        <w:rPr>
          <w:kern w:val="0"/>
          <w:sz w:val="24"/>
        </w:rPr>
      </w:pPr>
      <w:r>
        <w:rPr>
          <w:rFonts w:hint="eastAsia"/>
          <w:kern w:val="0"/>
          <w:sz w:val="24"/>
        </w:rPr>
        <w:t>学位论文选题应贯彻理论联系实际的原则，论文内容应着眼实际问题、面向法律实务，反映学生综合运用所学法学理论与知识解决法律实务中的理论和实践问题的能力。</w:t>
      </w:r>
    </w:p>
    <w:p>
      <w:pPr>
        <w:widowControl/>
        <w:adjustRightInd w:val="0"/>
        <w:snapToGrid w:val="0"/>
        <w:spacing w:line="360" w:lineRule="auto"/>
        <w:ind w:firstLine="480" w:firstLineChars="200"/>
        <w:rPr>
          <w:kern w:val="0"/>
          <w:sz w:val="24"/>
        </w:rPr>
      </w:pPr>
      <w:r>
        <w:rPr>
          <w:rFonts w:hint="eastAsia"/>
          <w:kern w:val="0"/>
          <w:sz w:val="24"/>
        </w:rPr>
        <w:t>学位论文应以法律实务研究为主要内容，</w:t>
      </w:r>
      <w:r>
        <w:rPr>
          <w:kern w:val="0"/>
          <w:sz w:val="24"/>
        </w:rPr>
        <w:t>提倡采用案例分析、</w:t>
      </w:r>
      <w:r>
        <w:rPr>
          <w:rFonts w:hint="eastAsia"/>
          <w:kern w:val="0"/>
          <w:sz w:val="24"/>
        </w:rPr>
        <w:t>研究报告、专项</w:t>
      </w:r>
      <w:r>
        <w:rPr>
          <w:kern w:val="0"/>
          <w:sz w:val="24"/>
        </w:rPr>
        <w:t>调查等</w:t>
      </w:r>
      <w:r>
        <w:rPr>
          <w:rFonts w:hint="eastAsia"/>
          <w:kern w:val="0"/>
          <w:sz w:val="24"/>
        </w:rPr>
        <w:t>形式</w:t>
      </w:r>
      <w:r>
        <w:rPr>
          <w:kern w:val="0"/>
          <w:sz w:val="24"/>
        </w:rPr>
        <w:t>。</w:t>
      </w:r>
    </w:p>
    <w:p>
      <w:pPr>
        <w:widowControl/>
        <w:adjustRightInd w:val="0"/>
        <w:snapToGrid w:val="0"/>
        <w:spacing w:line="360" w:lineRule="auto"/>
        <w:ind w:firstLine="480" w:firstLineChars="200"/>
        <w:rPr>
          <w:kern w:val="0"/>
          <w:sz w:val="24"/>
        </w:rPr>
      </w:pPr>
      <w:r>
        <w:rPr>
          <w:rFonts w:hint="eastAsia"/>
          <w:kern w:val="0"/>
          <w:sz w:val="24"/>
        </w:rPr>
        <w:t>学位论文的写作应当规范并达到以下5个方面的要求：</w:t>
      </w:r>
    </w:p>
    <w:p>
      <w:pPr>
        <w:widowControl/>
        <w:adjustRightInd w:val="0"/>
        <w:snapToGrid w:val="0"/>
        <w:spacing w:line="360" w:lineRule="auto"/>
        <w:ind w:firstLine="480"/>
        <w:rPr>
          <w:kern w:val="0"/>
          <w:sz w:val="24"/>
        </w:rPr>
      </w:pPr>
      <w:r>
        <w:rPr>
          <w:rFonts w:hint="eastAsia"/>
          <w:kern w:val="0"/>
          <w:sz w:val="24"/>
        </w:rPr>
        <w:t>1.论题具有理论和实践意义，题目设计合理；</w:t>
      </w:r>
    </w:p>
    <w:p>
      <w:pPr>
        <w:widowControl/>
        <w:adjustRightInd w:val="0"/>
        <w:snapToGrid w:val="0"/>
        <w:spacing w:line="360" w:lineRule="auto"/>
        <w:ind w:firstLine="480"/>
        <w:rPr>
          <w:kern w:val="0"/>
          <w:sz w:val="24"/>
        </w:rPr>
      </w:pPr>
      <w:r>
        <w:rPr>
          <w:rFonts w:hint="eastAsia"/>
          <w:kern w:val="0"/>
          <w:sz w:val="24"/>
        </w:rPr>
        <w:t>2.梳理和归纳同类问题的研究或实践现状；</w:t>
      </w:r>
    </w:p>
    <w:p>
      <w:pPr>
        <w:widowControl/>
        <w:adjustRightInd w:val="0"/>
        <w:snapToGrid w:val="0"/>
        <w:spacing w:line="360" w:lineRule="auto"/>
        <w:ind w:firstLine="480"/>
        <w:rPr>
          <w:kern w:val="0"/>
          <w:sz w:val="24"/>
        </w:rPr>
      </w:pPr>
      <w:r>
        <w:rPr>
          <w:rFonts w:hint="eastAsia"/>
          <w:kern w:val="0"/>
          <w:sz w:val="24"/>
        </w:rPr>
        <w:t>3.论据充分，论证合理，资料完整；</w:t>
      </w:r>
    </w:p>
    <w:p>
      <w:pPr>
        <w:widowControl/>
        <w:adjustRightInd w:val="0"/>
        <w:snapToGrid w:val="0"/>
        <w:spacing w:line="360" w:lineRule="auto"/>
        <w:ind w:firstLine="480"/>
        <w:rPr>
          <w:kern w:val="0"/>
          <w:sz w:val="24"/>
        </w:rPr>
      </w:pPr>
      <w:r>
        <w:rPr>
          <w:rFonts w:hint="eastAsia"/>
          <w:kern w:val="0"/>
          <w:sz w:val="24"/>
        </w:rPr>
        <w:t>4.作者具有研究方法意识，能够采取多样的研究方法，如社会调查与统计方法、规范实证方法等；</w:t>
      </w:r>
    </w:p>
    <w:p>
      <w:pPr>
        <w:widowControl/>
        <w:adjustRightInd w:val="0"/>
        <w:snapToGrid w:val="0"/>
        <w:spacing w:line="360" w:lineRule="auto"/>
        <w:ind w:firstLine="480"/>
        <w:rPr>
          <w:kern w:val="0"/>
          <w:sz w:val="24"/>
          <w:highlight w:val="yellow"/>
        </w:rPr>
      </w:pPr>
      <w:r>
        <w:rPr>
          <w:rFonts w:hint="eastAsia"/>
          <w:kern w:val="0"/>
          <w:sz w:val="24"/>
        </w:rPr>
        <w:t>5.符合写作规范，字数不少于2万字。</w:t>
      </w:r>
    </w:p>
    <w:p>
      <w:pPr>
        <w:widowControl/>
        <w:adjustRightInd w:val="0"/>
        <w:snapToGrid w:val="0"/>
        <w:spacing w:line="360" w:lineRule="auto"/>
        <w:jc w:val="left"/>
        <w:rPr>
          <w:rFonts w:asciiTheme="minorEastAsia" w:hAnsiTheme="minorEastAsia" w:eastAsiaTheme="minorEastAsia"/>
          <w:b/>
          <w:kern w:val="0"/>
          <w:sz w:val="24"/>
        </w:rPr>
      </w:pPr>
      <w:r>
        <w:rPr>
          <w:rFonts w:hint="eastAsia" w:asciiTheme="minorEastAsia" w:hAnsiTheme="minorEastAsia" w:eastAsiaTheme="minorEastAsia"/>
          <w:b/>
          <w:kern w:val="0"/>
          <w:sz w:val="24"/>
        </w:rPr>
        <w:t>八</w:t>
      </w:r>
      <w:r>
        <w:rPr>
          <w:rFonts w:asciiTheme="minorEastAsia" w:hAnsiTheme="minorEastAsia" w:eastAsiaTheme="minorEastAsia"/>
          <w:b/>
          <w:kern w:val="0"/>
          <w:sz w:val="24"/>
        </w:rPr>
        <w:t>、</w:t>
      </w:r>
      <w:r>
        <w:rPr>
          <w:rFonts w:hint="eastAsia" w:asciiTheme="minorEastAsia" w:hAnsiTheme="minorEastAsia" w:eastAsiaTheme="minorEastAsia"/>
          <w:b/>
          <w:kern w:val="0"/>
          <w:sz w:val="24"/>
        </w:rPr>
        <w:t>论文答辩与</w:t>
      </w:r>
      <w:r>
        <w:rPr>
          <w:rFonts w:asciiTheme="minorEastAsia" w:hAnsiTheme="minorEastAsia" w:eastAsiaTheme="minorEastAsia"/>
          <w:b/>
          <w:kern w:val="0"/>
          <w:sz w:val="24"/>
        </w:rPr>
        <w:t>学位授予</w:t>
      </w:r>
    </w:p>
    <w:p>
      <w:pPr>
        <w:widowControl/>
        <w:adjustRightInd w:val="0"/>
        <w:snapToGrid w:val="0"/>
        <w:spacing w:line="360" w:lineRule="auto"/>
        <w:ind w:firstLine="480" w:firstLineChars="200"/>
        <w:rPr>
          <w:kern w:val="0"/>
          <w:sz w:val="24"/>
        </w:rPr>
      </w:pPr>
      <w:r>
        <w:rPr>
          <w:rFonts w:hint="eastAsia"/>
          <w:kern w:val="0"/>
          <w:sz w:val="24"/>
        </w:rPr>
        <w:t>学位论文必须由2名本专业具有高级专业技术职务的专家评阅，原则上1名为法治工作部门专家；学位论文答辩委员会成员中，应有1至2名法治工作部门专家。</w:t>
      </w:r>
    </w:p>
    <w:p>
      <w:pPr>
        <w:widowControl/>
        <w:adjustRightInd w:val="0"/>
        <w:snapToGrid w:val="0"/>
        <w:spacing w:line="360" w:lineRule="auto"/>
        <w:ind w:firstLine="480" w:firstLineChars="200"/>
        <w:rPr>
          <w:kern w:val="0"/>
          <w:sz w:val="24"/>
        </w:rPr>
      </w:pPr>
      <w:r>
        <w:rPr>
          <w:kern w:val="0"/>
          <w:sz w:val="24"/>
        </w:rPr>
        <w:t>完成课程学习及实习实践环节，取得规定学分，通过学位论文答辩，</w:t>
      </w:r>
      <w:r>
        <w:rPr>
          <w:rFonts w:hint="eastAsia"/>
          <w:kern w:val="0"/>
          <w:sz w:val="24"/>
        </w:rPr>
        <w:t>符合学位授予条件者，</w:t>
      </w:r>
      <w:r>
        <w:rPr>
          <w:kern w:val="0"/>
          <w:sz w:val="24"/>
        </w:rPr>
        <w:t>经</w:t>
      </w:r>
      <w:r>
        <w:rPr>
          <w:rFonts w:hint="eastAsia"/>
          <w:kern w:val="0"/>
          <w:sz w:val="24"/>
        </w:rPr>
        <w:t>学校</w:t>
      </w:r>
      <w:r>
        <w:rPr>
          <w:kern w:val="0"/>
          <w:sz w:val="24"/>
        </w:rPr>
        <w:t>学位评定委员会审核</w:t>
      </w:r>
      <w:r>
        <w:rPr>
          <w:rFonts w:hint="eastAsia"/>
          <w:kern w:val="0"/>
          <w:sz w:val="24"/>
        </w:rPr>
        <w:t>，</w:t>
      </w:r>
      <w:r>
        <w:rPr>
          <w:kern w:val="0"/>
          <w:sz w:val="24"/>
        </w:rPr>
        <w:t>授予法律硕士专业学位。</w:t>
      </w:r>
    </w:p>
    <w:p>
      <w:pPr>
        <w:adjustRightInd w:val="0"/>
        <w:snapToGrid w:val="0"/>
        <w:spacing w:line="360" w:lineRule="auto"/>
        <w:rPr>
          <w:rFonts w:hAnsi="宋体"/>
          <w:b/>
          <w:sz w:val="24"/>
          <w:szCs w:val="20"/>
        </w:rPr>
      </w:pPr>
      <w:r>
        <w:rPr>
          <w:rFonts w:hint="eastAsia" w:hAnsi="宋体"/>
          <w:b/>
          <w:sz w:val="24"/>
          <w:szCs w:val="20"/>
        </w:rPr>
        <w:t>九、附则</w:t>
      </w:r>
    </w:p>
    <w:p>
      <w:pPr>
        <w:pStyle w:val="6"/>
        <w:adjustRightInd w:val="0"/>
        <w:snapToGrid w:val="0"/>
        <w:spacing w:before="0" w:beforeAutospacing="0" w:after="0" w:afterAutospacing="0" w:line="360" w:lineRule="auto"/>
        <w:ind w:firstLine="480" w:firstLineChars="200"/>
      </w:pPr>
      <w:r>
        <w:rPr>
          <w:rFonts w:hint="eastAsia"/>
        </w:rPr>
        <w:t>（一）</w:t>
      </w:r>
      <w:r>
        <w:t>本培养方案根据全国法律硕士教学指导委员会《法律硕士专业学位研究生指导性培养方案（适用于法学专业毕业生）》（</w:t>
      </w:r>
      <w:r>
        <w:rPr>
          <w:rFonts w:hint="eastAsia"/>
        </w:rPr>
        <w:t>国务院</w:t>
      </w:r>
      <w:r>
        <w:t>学位办[2017]19号）制定，经</w:t>
      </w:r>
      <w:r>
        <w:rPr>
          <w:rFonts w:hint="eastAsia"/>
        </w:rPr>
        <w:t>河北科技</w:t>
      </w:r>
      <w:r>
        <w:t>大学学位评定委员会讨论通过，并报全国法律硕士指导委员会秘书处备案。</w:t>
      </w:r>
    </w:p>
    <w:p>
      <w:pPr>
        <w:pStyle w:val="6"/>
        <w:adjustRightInd w:val="0"/>
        <w:snapToGrid w:val="0"/>
        <w:spacing w:before="0" w:beforeAutospacing="0" w:after="0" w:afterAutospacing="0" w:line="360" w:lineRule="auto"/>
      </w:pPr>
      <w:r>
        <w:t>　　（</w:t>
      </w:r>
      <w:r>
        <w:rPr>
          <w:rFonts w:hint="eastAsia"/>
        </w:rPr>
        <w:t>二</w:t>
      </w:r>
      <w:r>
        <w:t>）本培养方案适用于参加统一考试录取的</w:t>
      </w:r>
      <w:r>
        <w:rPr>
          <w:rFonts w:hint="eastAsia"/>
        </w:rPr>
        <w:t>全日制和非全日制</w:t>
      </w:r>
      <w:r>
        <w:t>法律硕士</w:t>
      </w:r>
      <w:r>
        <w:rPr>
          <w:rFonts w:hint="eastAsia"/>
        </w:rPr>
        <w:t>（法学）</w:t>
      </w:r>
      <w:r>
        <w:t>研究生。</w:t>
      </w:r>
    </w:p>
    <w:p>
      <w:pPr>
        <w:widowControl/>
        <w:adjustRightInd w:val="0"/>
        <w:snapToGrid w:val="0"/>
        <w:spacing w:line="360" w:lineRule="auto"/>
        <w:ind w:firstLine="480" w:firstLineChars="200"/>
        <w:rPr>
          <w:rFonts w:ascii="宋体" w:hAnsi="宋体" w:cs="宋体"/>
          <w:kern w:val="0"/>
          <w:sz w:val="24"/>
        </w:rPr>
      </w:pPr>
      <w:r>
        <w:rPr>
          <w:rFonts w:ascii="宋体" w:hAnsi="宋体" w:cs="宋体"/>
          <w:kern w:val="0"/>
          <w:sz w:val="24"/>
        </w:rPr>
        <w:t>（</w:t>
      </w:r>
      <w:r>
        <w:rPr>
          <w:rFonts w:hint="eastAsia" w:ascii="宋体" w:hAnsi="宋体" w:cs="宋体"/>
          <w:kern w:val="0"/>
          <w:sz w:val="24"/>
        </w:rPr>
        <w:t>三</w:t>
      </w:r>
      <w:r>
        <w:rPr>
          <w:rFonts w:ascii="宋体" w:hAnsi="宋体" w:cs="宋体"/>
          <w:kern w:val="0"/>
          <w:sz w:val="24"/>
        </w:rPr>
        <w:t>）本培养方案由河北科技大学文法学院负责解释。</w:t>
      </w:r>
    </w:p>
    <w:p>
      <w:pPr>
        <w:widowControl/>
        <w:adjustRightInd w:val="0"/>
        <w:snapToGrid w:val="0"/>
        <w:spacing w:line="360" w:lineRule="auto"/>
        <w:ind w:firstLine="480" w:firstLineChars="200"/>
        <w:rPr>
          <w:rFonts w:hint="eastAsia" w:ascii="宋体" w:hAnsi="宋体" w:cs="宋体"/>
          <w:kern w:val="0"/>
          <w:sz w:val="24"/>
        </w:rPr>
      </w:pPr>
      <w:r>
        <w:rPr>
          <w:rFonts w:hint="eastAsia" w:ascii="宋体" w:hAnsi="宋体" w:cs="宋体"/>
          <w:kern w:val="0"/>
          <w:sz w:val="24"/>
        </w:rPr>
        <w:t>（四）本培养方案自20</w:t>
      </w:r>
      <w:r>
        <w:rPr>
          <w:rFonts w:hint="eastAsia" w:ascii="宋体" w:hAnsi="宋体" w:cs="宋体"/>
          <w:kern w:val="0"/>
          <w:sz w:val="24"/>
          <w:lang w:val="en-US" w:eastAsia="zh-CN"/>
        </w:rPr>
        <w:t>20</w:t>
      </w:r>
      <w:r>
        <w:rPr>
          <w:rFonts w:hint="eastAsia" w:ascii="宋体" w:hAnsi="宋体" w:cs="宋体"/>
          <w:kern w:val="0"/>
          <w:sz w:val="24"/>
        </w:rPr>
        <w:t>级法律硕士（法学）研究生开始执行。</w:t>
      </w:r>
    </w:p>
    <w:p>
      <w:pPr>
        <w:widowControl/>
        <w:adjustRightInd w:val="0"/>
        <w:snapToGrid w:val="0"/>
        <w:spacing w:line="360" w:lineRule="auto"/>
        <w:ind w:firstLine="480" w:firstLineChars="200"/>
        <w:rPr>
          <w:rFonts w:hint="eastAsia" w:ascii="宋体" w:hAnsi="宋体" w:cs="宋体"/>
          <w:kern w:val="0"/>
          <w:sz w:val="24"/>
        </w:rPr>
      </w:pPr>
    </w:p>
    <w:p>
      <w:pPr>
        <w:widowControl/>
        <w:adjustRightInd w:val="0"/>
        <w:snapToGrid w:val="0"/>
        <w:spacing w:line="360" w:lineRule="auto"/>
        <w:ind w:firstLine="480" w:firstLineChars="200"/>
        <w:rPr>
          <w:rFonts w:hint="eastAsia" w:ascii="宋体" w:hAnsi="宋体" w:cs="宋体"/>
          <w:kern w:val="0"/>
          <w:sz w:val="24"/>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学科或专业类别（领域）负责人（签字）：</w:t>
      </w: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主管院长（签字）：</w:t>
      </w:r>
    </w:p>
    <w:p>
      <w:pPr>
        <w:adjustRightInd w:val="0"/>
        <w:snapToGrid w:val="0"/>
        <w:spacing w:line="360" w:lineRule="auto"/>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p>
    <w:p>
      <w:pPr>
        <w:adjustRightInd w:val="0"/>
        <w:snapToGrid w:val="0"/>
        <w:spacing w:line="360" w:lineRule="auto"/>
        <w:ind w:firstLine="560" w:firstLineChars="200"/>
        <w:rPr>
          <w:rFonts w:hint="eastAsia" w:ascii="宋体" w:hAnsi="宋体"/>
          <w:sz w:val="28"/>
          <w:szCs w:val="28"/>
        </w:rPr>
      </w:pPr>
      <w:r>
        <w:rPr>
          <w:rFonts w:hint="eastAsia" w:ascii="宋体" w:hAnsi="宋体"/>
          <w:sz w:val="28"/>
          <w:szCs w:val="28"/>
        </w:rPr>
        <w:t xml:space="preserve">                                           （公章）</w:t>
      </w:r>
    </w:p>
    <w:p>
      <w:pPr>
        <w:adjustRightInd w:val="0"/>
        <w:snapToGrid w:val="0"/>
        <w:spacing w:line="360" w:lineRule="auto"/>
        <w:ind w:firstLine="560" w:firstLineChars="200"/>
        <w:rPr>
          <w:rFonts w:hint="eastAsia" w:ascii="宋体" w:hAnsi="宋体" w:cs="宋体"/>
          <w:kern w:val="0"/>
          <w:sz w:val="24"/>
        </w:rPr>
      </w:pPr>
      <w:r>
        <w:rPr>
          <w:rFonts w:hint="eastAsia" w:ascii="宋体" w:hAnsi="宋体"/>
          <w:sz w:val="28"/>
          <w:szCs w:val="28"/>
        </w:rPr>
        <w:t xml:space="preserve">                                         2020年 月  日</w:t>
      </w:r>
    </w:p>
    <w:p>
      <w:pPr>
        <w:adjustRightInd w:val="0"/>
        <w:snapToGrid w:val="0"/>
        <w:spacing w:line="360" w:lineRule="auto"/>
        <w:rPr>
          <w:rFonts w:hAnsi="宋体"/>
          <w:sz w:val="24"/>
          <w:szCs w:val="20"/>
        </w:rPr>
      </w:pPr>
    </w:p>
    <w:p>
      <w:pPr>
        <w:adjustRightInd w:val="0"/>
        <w:snapToGrid w:val="0"/>
        <w:spacing w:line="360" w:lineRule="auto"/>
        <w:rPr>
          <w:rFonts w:hAnsi="宋体"/>
          <w:sz w:val="24"/>
          <w:szCs w:val="2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mp;quot">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29838"/>
      <w:docPartObj>
        <w:docPartGallery w:val="autotext"/>
      </w:docPartObj>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C40E5"/>
    <w:multiLevelType w:val="singleLevel"/>
    <w:tmpl w:val="31FC40E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06CC8"/>
    <w:rsid w:val="000005E2"/>
    <w:rsid w:val="00004EE7"/>
    <w:rsid w:val="00007A04"/>
    <w:rsid w:val="000324B8"/>
    <w:rsid w:val="00033756"/>
    <w:rsid w:val="00046FC3"/>
    <w:rsid w:val="00047808"/>
    <w:rsid w:val="0006525A"/>
    <w:rsid w:val="000657CB"/>
    <w:rsid w:val="0008546D"/>
    <w:rsid w:val="000A502B"/>
    <w:rsid w:val="000C086E"/>
    <w:rsid w:val="000C4F5F"/>
    <w:rsid w:val="000C5A05"/>
    <w:rsid w:val="000F73FA"/>
    <w:rsid w:val="0011718C"/>
    <w:rsid w:val="001214BE"/>
    <w:rsid w:val="00123530"/>
    <w:rsid w:val="00125F54"/>
    <w:rsid w:val="00134446"/>
    <w:rsid w:val="001403DD"/>
    <w:rsid w:val="001574A7"/>
    <w:rsid w:val="001854B3"/>
    <w:rsid w:val="001A5065"/>
    <w:rsid w:val="001B0CA6"/>
    <w:rsid w:val="001B3690"/>
    <w:rsid w:val="001B7E27"/>
    <w:rsid w:val="001C4ABA"/>
    <w:rsid w:val="001E6246"/>
    <w:rsid w:val="001F253F"/>
    <w:rsid w:val="0020732D"/>
    <w:rsid w:val="00272742"/>
    <w:rsid w:val="00274538"/>
    <w:rsid w:val="00297214"/>
    <w:rsid w:val="002A5D99"/>
    <w:rsid w:val="002E21E7"/>
    <w:rsid w:val="0031202C"/>
    <w:rsid w:val="00312325"/>
    <w:rsid w:val="00333CB4"/>
    <w:rsid w:val="0033567B"/>
    <w:rsid w:val="003467D9"/>
    <w:rsid w:val="0036282F"/>
    <w:rsid w:val="00382DF9"/>
    <w:rsid w:val="003A1449"/>
    <w:rsid w:val="003C57B5"/>
    <w:rsid w:val="003F4ACC"/>
    <w:rsid w:val="0042233E"/>
    <w:rsid w:val="00426CD9"/>
    <w:rsid w:val="00472D2B"/>
    <w:rsid w:val="00496B4E"/>
    <w:rsid w:val="004B16FF"/>
    <w:rsid w:val="004B480F"/>
    <w:rsid w:val="004B4F95"/>
    <w:rsid w:val="004D19A6"/>
    <w:rsid w:val="00500740"/>
    <w:rsid w:val="00506CC8"/>
    <w:rsid w:val="00513DE5"/>
    <w:rsid w:val="00524F06"/>
    <w:rsid w:val="00546EFA"/>
    <w:rsid w:val="00571C4E"/>
    <w:rsid w:val="005B3E34"/>
    <w:rsid w:val="005C0A56"/>
    <w:rsid w:val="005D10B0"/>
    <w:rsid w:val="005F1107"/>
    <w:rsid w:val="005F3326"/>
    <w:rsid w:val="00691617"/>
    <w:rsid w:val="006B71EA"/>
    <w:rsid w:val="006C2276"/>
    <w:rsid w:val="007048DC"/>
    <w:rsid w:val="00733ED7"/>
    <w:rsid w:val="00774663"/>
    <w:rsid w:val="00776AF1"/>
    <w:rsid w:val="007946DC"/>
    <w:rsid w:val="007A1707"/>
    <w:rsid w:val="007A5B14"/>
    <w:rsid w:val="007B28F7"/>
    <w:rsid w:val="007D4DA8"/>
    <w:rsid w:val="007D7952"/>
    <w:rsid w:val="007E0AC3"/>
    <w:rsid w:val="007F3700"/>
    <w:rsid w:val="00802BBA"/>
    <w:rsid w:val="00805131"/>
    <w:rsid w:val="00820F6B"/>
    <w:rsid w:val="008307CB"/>
    <w:rsid w:val="008875BC"/>
    <w:rsid w:val="008C2D85"/>
    <w:rsid w:val="008D3091"/>
    <w:rsid w:val="008D3B8B"/>
    <w:rsid w:val="008D44E1"/>
    <w:rsid w:val="008E43C0"/>
    <w:rsid w:val="008F1274"/>
    <w:rsid w:val="00901990"/>
    <w:rsid w:val="00917A64"/>
    <w:rsid w:val="009566F0"/>
    <w:rsid w:val="00964138"/>
    <w:rsid w:val="009649B1"/>
    <w:rsid w:val="00967B13"/>
    <w:rsid w:val="0097016A"/>
    <w:rsid w:val="00975414"/>
    <w:rsid w:val="00976CC4"/>
    <w:rsid w:val="009A1350"/>
    <w:rsid w:val="009A3491"/>
    <w:rsid w:val="009A62C3"/>
    <w:rsid w:val="009C1F30"/>
    <w:rsid w:val="009F598C"/>
    <w:rsid w:val="00A17AA1"/>
    <w:rsid w:val="00A31A89"/>
    <w:rsid w:val="00A32CAC"/>
    <w:rsid w:val="00A5167C"/>
    <w:rsid w:val="00A611E7"/>
    <w:rsid w:val="00A72BAD"/>
    <w:rsid w:val="00A77178"/>
    <w:rsid w:val="00A86F20"/>
    <w:rsid w:val="00A93155"/>
    <w:rsid w:val="00A952D4"/>
    <w:rsid w:val="00AA05A7"/>
    <w:rsid w:val="00AA0A56"/>
    <w:rsid w:val="00AB7750"/>
    <w:rsid w:val="00AD7CFF"/>
    <w:rsid w:val="00B067D6"/>
    <w:rsid w:val="00B330E1"/>
    <w:rsid w:val="00B92C08"/>
    <w:rsid w:val="00B93A8E"/>
    <w:rsid w:val="00B95F84"/>
    <w:rsid w:val="00BC3683"/>
    <w:rsid w:val="00BD4AA0"/>
    <w:rsid w:val="00BF5AF7"/>
    <w:rsid w:val="00C77884"/>
    <w:rsid w:val="00C92A17"/>
    <w:rsid w:val="00CB6473"/>
    <w:rsid w:val="00CB6B8F"/>
    <w:rsid w:val="00CD6A81"/>
    <w:rsid w:val="00CE548F"/>
    <w:rsid w:val="00CE6AB4"/>
    <w:rsid w:val="00D00880"/>
    <w:rsid w:val="00D021DB"/>
    <w:rsid w:val="00D138F7"/>
    <w:rsid w:val="00D2355A"/>
    <w:rsid w:val="00D47E03"/>
    <w:rsid w:val="00D94BD8"/>
    <w:rsid w:val="00DA4E59"/>
    <w:rsid w:val="00DA79F5"/>
    <w:rsid w:val="00DB4383"/>
    <w:rsid w:val="00DD7ECC"/>
    <w:rsid w:val="00DE3582"/>
    <w:rsid w:val="00DF7A87"/>
    <w:rsid w:val="00E00D47"/>
    <w:rsid w:val="00E07C13"/>
    <w:rsid w:val="00E72E5F"/>
    <w:rsid w:val="00E76A1D"/>
    <w:rsid w:val="00E91D89"/>
    <w:rsid w:val="00EB1DA4"/>
    <w:rsid w:val="00F21A4A"/>
    <w:rsid w:val="00F2654A"/>
    <w:rsid w:val="00F46C74"/>
    <w:rsid w:val="00F620A7"/>
    <w:rsid w:val="00F63739"/>
    <w:rsid w:val="00F7152F"/>
    <w:rsid w:val="00F73CC0"/>
    <w:rsid w:val="00FC486E"/>
    <w:rsid w:val="00FD107A"/>
    <w:rsid w:val="00FE78B4"/>
    <w:rsid w:val="00FF7233"/>
    <w:rsid w:val="02B6361A"/>
    <w:rsid w:val="0514527D"/>
    <w:rsid w:val="0A34008B"/>
    <w:rsid w:val="0BDD060F"/>
    <w:rsid w:val="0C0632CA"/>
    <w:rsid w:val="117C0C0E"/>
    <w:rsid w:val="15555251"/>
    <w:rsid w:val="1C3169BB"/>
    <w:rsid w:val="20C17DFE"/>
    <w:rsid w:val="27E02DAB"/>
    <w:rsid w:val="2D75147F"/>
    <w:rsid w:val="2DE23C57"/>
    <w:rsid w:val="2FBF1C48"/>
    <w:rsid w:val="33954531"/>
    <w:rsid w:val="340E7D53"/>
    <w:rsid w:val="345F717E"/>
    <w:rsid w:val="387E2B16"/>
    <w:rsid w:val="3CF41007"/>
    <w:rsid w:val="3D861A9D"/>
    <w:rsid w:val="40356FA9"/>
    <w:rsid w:val="430B23A0"/>
    <w:rsid w:val="436B1B7E"/>
    <w:rsid w:val="45C131D9"/>
    <w:rsid w:val="47491D5D"/>
    <w:rsid w:val="4D4711E0"/>
    <w:rsid w:val="4F0647DA"/>
    <w:rsid w:val="598E5190"/>
    <w:rsid w:val="5C5E526F"/>
    <w:rsid w:val="5F723701"/>
    <w:rsid w:val="64B744CF"/>
    <w:rsid w:val="6A350E7E"/>
    <w:rsid w:val="6EBD7DBF"/>
    <w:rsid w:val="6F5C32A7"/>
    <w:rsid w:val="76617DAF"/>
    <w:rsid w:val="7A577F35"/>
    <w:rsid w:val="7A6A2631"/>
    <w:rsid w:val="7A6F3527"/>
    <w:rsid w:val="7A8026E4"/>
    <w:rsid w:val="7EAE03A3"/>
    <w:rsid w:val="7F706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0"/>
    <w:pPr>
      <w:spacing w:line="360" w:lineRule="auto"/>
      <w:ind w:firstLine="480" w:firstLineChars="200"/>
    </w:pPr>
    <w:rPr>
      <w:rFonts w:ascii="宋体" w:hAnsi="宋体"/>
      <w:bCs/>
      <w:sz w:val="24"/>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Indent 3"/>
    <w:basedOn w:val="1"/>
    <w:link w:val="11"/>
    <w:qFormat/>
    <w:uiPriority w:val="0"/>
    <w:pPr>
      <w:spacing w:before="120" w:after="120" w:line="300" w:lineRule="auto"/>
      <w:ind w:firstLine="482"/>
    </w:pPr>
    <w:rPr>
      <w:sz w:val="24"/>
      <w:szCs w:val="20"/>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9">
    <w:name w:val="页眉 Char"/>
    <w:basedOn w:val="8"/>
    <w:link w:val="4"/>
    <w:semiHidden/>
    <w:qFormat/>
    <w:uiPriority w:val="99"/>
    <w:rPr>
      <w:sz w:val="18"/>
      <w:szCs w:val="18"/>
    </w:rPr>
  </w:style>
  <w:style w:type="character" w:customStyle="1" w:styleId="10">
    <w:name w:val="页脚 Char"/>
    <w:basedOn w:val="8"/>
    <w:link w:val="3"/>
    <w:qFormat/>
    <w:uiPriority w:val="99"/>
    <w:rPr>
      <w:sz w:val="18"/>
      <w:szCs w:val="18"/>
    </w:rPr>
  </w:style>
  <w:style w:type="character" w:customStyle="1" w:styleId="11">
    <w:name w:val="正文文本缩进 3 Char"/>
    <w:basedOn w:val="8"/>
    <w:link w:val="5"/>
    <w:qFormat/>
    <w:uiPriority w:val="0"/>
    <w:rPr>
      <w:rFonts w:ascii="Times New Roman" w:hAnsi="Times New Roman" w:eastAsia="宋体" w:cs="Times New Roman"/>
      <w:sz w:val="24"/>
      <w:szCs w:val="20"/>
    </w:rPr>
  </w:style>
  <w:style w:type="character" w:customStyle="1" w:styleId="12">
    <w:name w:val="正文文本缩进 Char"/>
    <w:basedOn w:val="8"/>
    <w:link w:val="2"/>
    <w:uiPriority w:val="0"/>
    <w:rPr>
      <w:rFonts w:ascii="宋体" w:hAnsi="宋体" w:eastAsia="宋体" w:cs="Times New Roman"/>
      <w:bCs/>
      <w:sz w:val="24"/>
      <w:szCs w:val="24"/>
    </w:rPr>
  </w:style>
  <w:style w:type="character" w:customStyle="1" w:styleId="13">
    <w:name w:val="Intense Emphasis"/>
    <w:basedOn w:val="8"/>
    <w:qFormat/>
    <w:uiPriority w:val="21"/>
    <w:rPr>
      <w:b/>
      <w:bCs/>
      <w:i/>
      <w:iCs/>
      <w:color w:val="4F81BD" w:themeColor="accent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98282F-4452-4844-9FFA-30AF195D825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548</Words>
  <Characters>3125</Characters>
  <Lines>26</Lines>
  <Paragraphs>7</Paragraphs>
  <TotalTime>0</TotalTime>
  <ScaleCrop>false</ScaleCrop>
  <LinksUpToDate>false</LinksUpToDate>
  <CharactersWithSpaces>3666</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2019-07-03T01:49:00Z</dcterms:created>
  <dc:creator>Administrator</dc:creator>
  <cp:lastModifiedBy>Administrator</cp:lastModifiedBy>
  <cp:lastPrinted>2019-06-13T03:42:00Z</cp:lastPrinted>
  <dcterms:modified xsi:type="dcterms:W3CDTF">2020-06-19T07:56:46Z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