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ind w:firstLine="602" w:firstLineChars="200"/>
        <w:jc w:val="center"/>
        <w:rPr>
          <w:b/>
          <w:sz w:val="24"/>
        </w:rPr>
      </w:pPr>
      <w:r>
        <w:rPr>
          <w:rFonts w:hint="eastAsia"/>
          <w:b/>
          <w:sz w:val="30"/>
          <w:szCs w:val="30"/>
        </w:rPr>
        <w:t>社会学</w:t>
      </w:r>
      <w:r>
        <w:rPr>
          <w:rFonts w:hAnsi="宋体"/>
          <w:b/>
          <w:sz w:val="30"/>
          <w:szCs w:val="30"/>
        </w:rPr>
        <w:t>学科硕士学位研究生培养方案</w:t>
      </w:r>
    </w:p>
    <w:p>
      <w:pPr>
        <w:adjustRightInd w:val="0"/>
        <w:snapToGrid w:val="0"/>
        <w:spacing w:line="360" w:lineRule="auto"/>
        <w:jc w:val="center"/>
        <w:rPr>
          <w:b/>
          <w:bCs/>
          <w:sz w:val="30"/>
          <w:szCs w:val="30"/>
        </w:rPr>
      </w:pPr>
      <w:r>
        <w:rPr>
          <w:rFonts w:hAnsi="宋体"/>
          <w:b/>
          <w:bCs/>
          <w:sz w:val="30"/>
          <w:szCs w:val="30"/>
        </w:rPr>
        <w:t>（</w:t>
      </w:r>
      <w:r>
        <w:rPr>
          <w:rFonts w:hint="eastAsia" w:hAnsi="宋体"/>
          <w:b/>
          <w:bCs/>
          <w:sz w:val="30"/>
          <w:szCs w:val="30"/>
        </w:rPr>
        <w:t>030300</w:t>
      </w:r>
      <w:r>
        <w:rPr>
          <w:rFonts w:hAnsi="宋体"/>
          <w:b/>
          <w:bCs/>
          <w:sz w:val="30"/>
          <w:szCs w:val="30"/>
        </w:rPr>
        <w:t>）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河北科技大学社会学硕士学位授权一级学科系2017年经国务院学位办批准设立。目前，社会学一级学科硕士学位授权点有硕士研究生导师6位，承担了一批国家级和省部级科研项目。授权点的研究方向设有：法社会学、文化社会学、政治社会学、民俗与文化、区域社会发展等。本学科依托河北省哲学社会科学研究基地，藏书丰富，科研条件优越。在教学科研过程中，以立足河北、面向全国，强化应用为取向，法社会学研究所、亚洲文化研究所、民俗文化研究所等科研机构突出河北省的地方特色，研究成果既提高了社会发展理论的研究水平，又直接为国家和地方政府的决策提供服务。</w:t>
      </w:r>
    </w:p>
    <w:p>
      <w:pPr>
        <w:adjustRightInd w:val="0"/>
        <w:snapToGrid w:val="0"/>
        <w:spacing w:line="360" w:lineRule="auto"/>
        <w:ind w:firstLine="482" w:firstLineChars="200"/>
        <w:rPr>
          <w:b/>
          <w:sz w:val="24"/>
        </w:rPr>
      </w:pPr>
      <w:r>
        <w:rPr>
          <w:rFonts w:hint="eastAsia" w:hAnsi="宋体"/>
          <w:b/>
          <w:sz w:val="24"/>
        </w:rPr>
        <w:t>一、</w:t>
      </w:r>
      <w:r>
        <w:rPr>
          <w:rFonts w:hAnsi="宋体"/>
          <w:b/>
          <w:sz w:val="24"/>
        </w:rPr>
        <w:t>培养目标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1．较为全面地掌握本领域的基础理论和基本研究方法，具有较为系统的专门知识，能熟练地掌握和运用一门外国语；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2．具备严谨、求实的科学态度和作风，具有创新、求真精神和良好的科研道德，具备独立从事本学科科学研究的能力；能熟练地运用现代科技手段，解决本学科及相关领域的实际问题；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．具有较强的实际工作能力，能胜任高校、科研单位中社会学、社会工作等方面的一般教学、科研工作；能胜任党政机关、大中型企业、社会团体中有关规划、决策、管理、政策研究、市场调研、效果评估、人力资源培训等工作；能胜任新闻媒体、宣传、出版等部门的策划、采访、编辑、深度报道、宣传等工作。</w:t>
      </w:r>
    </w:p>
    <w:p>
      <w:pPr>
        <w:adjustRightInd w:val="0"/>
        <w:snapToGrid w:val="0"/>
        <w:spacing w:line="360" w:lineRule="auto"/>
        <w:rPr>
          <w:b/>
          <w:sz w:val="24"/>
        </w:rPr>
      </w:pPr>
      <w:r>
        <w:rPr>
          <w:rFonts w:hint="eastAsia" w:hAnsi="宋体"/>
          <w:b/>
          <w:sz w:val="24"/>
        </w:rPr>
        <w:t>二、主要</w:t>
      </w:r>
      <w:r>
        <w:rPr>
          <w:rFonts w:hAnsi="宋体"/>
          <w:b/>
          <w:sz w:val="24"/>
        </w:rPr>
        <w:t>研究方向</w:t>
      </w:r>
    </w:p>
    <w:p>
      <w:pPr>
        <w:tabs>
          <w:tab w:val="left" w:pos="4860"/>
        </w:tabs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1．应用社会学（法社会学、文化社会学、政治社会学）</w:t>
      </w:r>
    </w:p>
    <w:p>
      <w:pPr>
        <w:tabs>
          <w:tab w:val="left" w:pos="4860"/>
        </w:tabs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2．民俗与文化</w:t>
      </w:r>
    </w:p>
    <w:p>
      <w:pPr>
        <w:tabs>
          <w:tab w:val="left" w:pos="4860"/>
        </w:tabs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3．区域社会发展</w:t>
      </w:r>
    </w:p>
    <w:p>
      <w:pPr>
        <w:adjustRightInd w:val="0"/>
        <w:snapToGrid w:val="0"/>
        <w:spacing w:line="360" w:lineRule="auto"/>
        <w:rPr>
          <w:b/>
          <w:sz w:val="24"/>
        </w:rPr>
      </w:pPr>
      <w:r>
        <w:rPr>
          <w:rFonts w:hint="eastAsia" w:hAnsi="宋体"/>
          <w:b/>
          <w:sz w:val="24"/>
        </w:rPr>
        <w:t>三、</w:t>
      </w:r>
      <w:r>
        <w:rPr>
          <w:rFonts w:hAnsi="宋体"/>
          <w:b/>
          <w:sz w:val="24"/>
        </w:rPr>
        <w:t>学制和学分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全日制攻读社会学学术型硕士学位的学制为2.5年，最长学习年限为5年。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社会学硕士研究生毕业并获得学位，总学分不低于34学分，其中公共学位课4学分，专业学位课17学分，专业选修课不低于10学分，公共选修课1学分，教学实践与参加本学科学术活动和学术会议各1学分。</w:t>
      </w:r>
      <w:r>
        <w:rPr>
          <w:rFonts w:ascii="宋体" w:hAnsi="宋体" w:cs="宋体"/>
          <w:kern w:val="0"/>
          <w:sz w:val="24"/>
        </w:rPr>
        <w:t>各科成绩60分以上（含60分），可取得相应的课程学分，</w:t>
      </w:r>
      <w:r>
        <w:rPr>
          <w:rFonts w:hint="eastAsia" w:ascii="宋体" w:hAnsi="宋体" w:cs="宋体"/>
          <w:kern w:val="0"/>
          <w:sz w:val="24"/>
        </w:rPr>
        <w:t>并</w:t>
      </w:r>
      <w:r>
        <w:rPr>
          <w:rFonts w:ascii="宋体" w:hAnsi="宋体" w:cs="宋体"/>
          <w:kern w:val="0"/>
          <w:sz w:val="24"/>
        </w:rPr>
        <w:t>获得毕业资格</w:t>
      </w:r>
      <w:r>
        <w:rPr>
          <w:rFonts w:hint="eastAsia" w:ascii="宋体" w:hAnsi="宋体" w:cs="宋体"/>
          <w:kern w:val="0"/>
          <w:sz w:val="24"/>
        </w:rPr>
        <w:t>；</w:t>
      </w:r>
      <w:r>
        <w:rPr>
          <w:rFonts w:ascii="宋体" w:hAnsi="宋体" w:cs="宋体"/>
          <w:kern w:val="0"/>
          <w:sz w:val="24"/>
        </w:rPr>
        <w:t>修满学分且</w:t>
      </w:r>
      <w:r>
        <w:rPr>
          <w:rFonts w:hint="eastAsia" w:ascii="宋体" w:hAnsi="宋体" w:cs="宋体"/>
          <w:kern w:val="0"/>
          <w:sz w:val="24"/>
        </w:rPr>
        <w:t>专业学位课平均</w:t>
      </w:r>
      <w:r>
        <w:rPr>
          <w:rFonts w:ascii="宋体" w:hAnsi="宋体" w:cs="宋体"/>
          <w:kern w:val="0"/>
          <w:sz w:val="24"/>
        </w:rPr>
        <w:t>成绩70分以上（含70分），方可申请学位。课程考试不及格或因客观情况未参加某门课程考试者，</w:t>
      </w:r>
      <w:r>
        <w:rPr>
          <w:rFonts w:hint="eastAsia" w:ascii="宋体" w:hAnsi="宋体" w:cs="宋体"/>
          <w:kern w:val="0"/>
          <w:sz w:val="24"/>
        </w:rPr>
        <w:t>须</w:t>
      </w:r>
      <w:r>
        <w:rPr>
          <w:rFonts w:ascii="宋体" w:hAnsi="宋体" w:cs="宋体"/>
          <w:kern w:val="0"/>
          <w:sz w:val="24"/>
        </w:rPr>
        <w:t>根据</w:t>
      </w:r>
      <w:r>
        <w:rPr>
          <w:rFonts w:hint="eastAsia" w:ascii="宋体" w:hAnsi="宋体" w:cs="宋体"/>
          <w:kern w:val="0"/>
          <w:sz w:val="24"/>
        </w:rPr>
        <w:t>学校</w:t>
      </w:r>
      <w:r>
        <w:rPr>
          <w:rFonts w:ascii="宋体" w:hAnsi="宋体" w:cs="宋体"/>
          <w:kern w:val="0"/>
          <w:sz w:val="24"/>
        </w:rPr>
        <w:t>规定补考或重修该课程。</w:t>
      </w:r>
    </w:p>
    <w:p>
      <w:pPr>
        <w:spacing w:line="360" w:lineRule="auto"/>
        <w:ind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社会学硕士研究生参加学校认定的创新创业、社会实践等活动并发表论文、获得奖励的，可以折算成相应学分。具体认定工作，由社会学硕士研究生本人提出申请，经导师组全体成员过半数同意通过。</w:t>
      </w:r>
    </w:p>
    <w:p>
      <w:pPr>
        <w:adjustRightInd w:val="0"/>
        <w:snapToGrid w:val="0"/>
        <w:spacing w:line="360" w:lineRule="auto"/>
        <w:rPr>
          <w:b/>
          <w:sz w:val="24"/>
        </w:rPr>
      </w:pPr>
      <w:r>
        <w:rPr>
          <w:rFonts w:hint="eastAsia" w:hAnsi="宋体"/>
          <w:b/>
          <w:sz w:val="24"/>
        </w:rPr>
        <w:t>四、</w:t>
      </w:r>
      <w:r>
        <w:rPr>
          <w:rFonts w:hAnsi="宋体"/>
          <w:b/>
          <w:sz w:val="24"/>
        </w:rPr>
        <w:t>课程设置</w:t>
      </w:r>
    </w:p>
    <w:tbl>
      <w:tblPr>
        <w:tblStyle w:val="7"/>
        <w:tblW w:w="9106" w:type="dxa"/>
        <w:tblInd w:w="1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"/>
        <w:gridCol w:w="722"/>
        <w:gridCol w:w="1209"/>
        <w:gridCol w:w="3381"/>
        <w:gridCol w:w="630"/>
        <w:gridCol w:w="615"/>
        <w:gridCol w:w="718"/>
        <w:gridCol w:w="720"/>
        <w:gridCol w:w="65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类别</w:t>
            </w: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课程编号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课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Ansi="宋体"/>
                <w:kern w:val="0"/>
                <w:szCs w:val="21"/>
              </w:rPr>
              <w:t>程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Ansi="宋体"/>
                <w:kern w:val="0"/>
                <w:szCs w:val="21"/>
              </w:rPr>
              <w:t>名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Ansi="宋体"/>
                <w:kern w:val="0"/>
                <w:szCs w:val="21"/>
              </w:rPr>
              <w:t>称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学时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学分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授课方式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考核方式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 w:hAnsi="宋体"/>
                <w:kern w:val="0"/>
                <w:szCs w:val="21"/>
              </w:rPr>
              <w:t>学期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7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3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公共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学位课</w:t>
            </w: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S0000004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szCs w:val="21"/>
              </w:rPr>
              <w:t>学位外语（英语）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60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考试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kern w:val="0"/>
                <w:szCs w:val="21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S0000008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szCs w:val="21"/>
              </w:rPr>
            </w:pPr>
            <w:r>
              <w:rPr>
                <w:rFonts w:hAnsi="宋体"/>
                <w:szCs w:val="21"/>
              </w:rPr>
              <w:t>中国特色社会主义理论与实践研究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18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考试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S0000009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马克思主义方法论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18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考试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专业学位课</w:t>
            </w:r>
          </w:p>
        </w:tc>
        <w:tc>
          <w:tcPr>
            <w:tcW w:w="72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专业基础课</w:t>
            </w: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S</w:t>
            </w:r>
            <w:r>
              <w:rPr>
                <w:rFonts w:hint="eastAsia"/>
                <w:kern w:val="0"/>
                <w:szCs w:val="21"/>
              </w:rPr>
              <w:t>1319002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"http://gs.hust.edu.cn/__local/3/9F/D9/138F73F9C1492BE8C5751F21FE7_168EB56B_AE00.doc" </w:instrText>
            </w:r>
            <w:r>
              <w:fldChar w:fldCharType="separate"/>
            </w:r>
            <w:r>
              <w:rPr>
                <w:rFonts w:hint="eastAsia"/>
              </w:rPr>
              <w:t>社会学</w:t>
            </w:r>
            <w:r>
              <w:rPr>
                <w:rFonts w:hint="eastAsia"/>
              </w:rPr>
              <w:fldChar w:fldCharType="end"/>
            </w:r>
            <w:r>
              <w:rPr>
                <w:rFonts w:hint="eastAsia"/>
              </w:rPr>
              <w:t>理论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54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考试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72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S</w:t>
            </w:r>
            <w:r>
              <w:rPr>
                <w:rFonts w:hint="eastAsia"/>
                <w:kern w:val="0"/>
                <w:szCs w:val="21"/>
              </w:rPr>
              <w:t>1319003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"http://gs.hust.edu.cn/__local/F/17/3C/B64C6C39CDFD1EA616C59CA7D7C_C51D7198_E400.doc" </w:instrText>
            </w:r>
            <w:r>
              <w:fldChar w:fldCharType="separate"/>
            </w:r>
            <w:r>
              <w:rPr>
                <w:rFonts w:hint="eastAsia"/>
              </w:rPr>
              <w:t>社会研</w:t>
            </w:r>
            <w:r>
              <w:rPr>
                <w:rFonts w:hint="eastAsia"/>
              </w:rPr>
              <w:fldChar w:fldCharType="end"/>
            </w:r>
            <w:r>
              <w:rPr>
                <w:rFonts w:hint="eastAsia"/>
              </w:rPr>
              <w:t>究方法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54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考试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72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S</w:t>
            </w:r>
            <w:r>
              <w:rPr>
                <w:rFonts w:hint="eastAsia"/>
                <w:kern w:val="0"/>
                <w:szCs w:val="21"/>
              </w:rPr>
              <w:t>1319004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社会思想史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36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考试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72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S1319005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社会学前沿问题研究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36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考试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专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业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课</w:t>
            </w: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S1319001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论文写作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18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考试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72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S1319006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20世纪中国社会学史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36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考试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72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S1319007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民俗学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36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考试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72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S1319008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区域社会发展研究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36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考试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2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非学位课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nil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专业选修课（</w:t>
            </w:r>
            <w:r>
              <w:rPr>
                <w:rFonts w:hint="eastAsia" w:hAnsi="宋体"/>
                <w:kern w:val="0"/>
                <w:szCs w:val="21"/>
              </w:rPr>
              <w:t>6选5</w:t>
            </w:r>
            <w:r>
              <w:rPr>
                <w:rFonts w:hAnsi="宋体"/>
                <w:kern w:val="0"/>
                <w:szCs w:val="21"/>
              </w:rPr>
              <w:t>）</w:t>
            </w: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S1319009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"http://gs.hust.edu.cn/__local/0/B3/DD/55A123EA225ABEF30A9A8003A18_F8460BCD_BC00.doc" </w:instrText>
            </w:r>
            <w:r>
              <w:fldChar w:fldCharType="separate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法律</w:t>
            </w:r>
            <w:r>
              <w:rPr>
                <w:rFonts w:hint="eastAsia"/>
              </w:rPr>
              <w:t>社会学专题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36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考试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722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S1319010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文化社会学专题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36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考试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722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S1319011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"http://gs.hust.edu.cn/__local/9/92/2F/F9835688780BECA3637F355E8A6_946914DA_DC00.doc" </w:instrText>
            </w:r>
            <w:r>
              <w:fldChar w:fldCharType="separate"/>
            </w:r>
            <w:r>
              <w:rPr>
                <w:rFonts w:hint="eastAsia"/>
              </w:rPr>
              <w:t>发展社会学专题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36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 w:hAnsi="宋体"/>
                <w:kern w:val="0"/>
                <w:szCs w:val="21"/>
              </w:rPr>
              <w:t>考查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722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S1319012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传播社会学专题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36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考查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722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S1319013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民俗文化学专题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36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考试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722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S1319014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文艺民俗学专题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36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考查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722" w:type="dxa"/>
            <w:tcBorders>
              <w:top w:val="nil"/>
              <w:left w:val="nil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公共选修课</w:t>
            </w: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S0000024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习近平谈治国理政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20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讲授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考查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7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必修环节</w:t>
            </w: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</w:t>
            </w:r>
            <w:r>
              <w:rPr>
                <w:rFonts w:hint="eastAsia" w:ascii="宋体" w:hAnsi="宋体" w:cs="宋体"/>
                <w:kern w:val="0"/>
                <w:szCs w:val="21"/>
              </w:rPr>
              <w:t>13030301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教学实践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考查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</w:t>
            </w:r>
            <w:r>
              <w:rPr>
                <w:rFonts w:hint="eastAsia" w:ascii="宋体" w:hAnsi="宋体" w:cs="宋体"/>
                <w:kern w:val="0"/>
                <w:szCs w:val="21"/>
              </w:rPr>
              <w:t>19030301</w:t>
            </w:r>
          </w:p>
        </w:tc>
        <w:tc>
          <w:tcPr>
            <w:tcW w:w="3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参加本学科学术活动和学术会议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1.0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考查</w:t>
            </w:r>
          </w:p>
        </w:tc>
        <w:tc>
          <w:tcPr>
            <w:tcW w:w="65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kern w:val="0"/>
                <w:szCs w:val="21"/>
              </w:rPr>
            </w:pPr>
          </w:p>
        </w:tc>
      </w:tr>
    </w:tbl>
    <w:p>
      <w:pPr>
        <w:adjustRightInd w:val="0"/>
        <w:snapToGrid w:val="0"/>
        <w:spacing w:line="360" w:lineRule="auto"/>
        <w:rPr>
          <w:rFonts w:hAnsi="宋体"/>
          <w:szCs w:val="21"/>
        </w:rPr>
      </w:pPr>
    </w:p>
    <w:p>
      <w:pPr>
        <w:adjustRightInd w:val="0"/>
        <w:snapToGrid w:val="0"/>
        <w:spacing w:line="360" w:lineRule="auto"/>
        <w:rPr>
          <w:b/>
          <w:sz w:val="24"/>
        </w:rPr>
      </w:pPr>
      <w:r>
        <w:rPr>
          <w:rFonts w:hint="eastAsia" w:hAnsi="宋体"/>
          <w:b/>
          <w:sz w:val="24"/>
        </w:rPr>
        <w:t>五、</w:t>
      </w:r>
      <w:r>
        <w:rPr>
          <w:rFonts w:hAnsi="宋体"/>
          <w:b/>
          <w:sz w:val="24"/>
        </w:rPr>
        <w:t>开题报告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开题报告是写作论文的重要环节，在第3学期完成。选题要经过充分思考，并征得指导教师同意。开题报告不得少于5000字。主要内容包括选题的背景、目的、意义，基本观点和逻辑结构，文献综述等。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hint="eastAsia"/>
          <w:color w:val="000000"/>
          <w:kern w:val="0"/>
          <w:sz w:val="24"/>
          <w:szCs w:val="21"/>
          <w:highlight w:val="none"/>
        </w:rPr>
      </w:pPr>
      <w:r>
        <w:rPr>
          <w:rFonts w:hint="eastAsia"/>
          <w:color w:val="000000"/>
          <w:kern w:val="0"/>
          <w:sz w:val="24"/>
          <w:szCs w:val="21"/>
        </w:rPr>
        <w:t>学院组织开题报告，并确定是否通过开题；对未通过开题者，允许在1个月</w:t>
      </w:r>
      <w:bookmarkStart w:id="0" w:name="_GoBack"/>
      <w:r>
        <w:rPr>
          <w:rFonts w:hint="eastAsia"/>
          <w:color w:val="000000"/>
          <w:kern w:val="0"/>
          <w:sz w:val="24"/>
          <w:szCs w:val="21"/>
        </w:rPr>
        <w:t>内再次提出申请，重新开题。开题报告通过后方可进入论文撰写阶段，并应按照</w:t>
      </w:r>
      <w:bookmarkEnd w:id="0"/>
      <w:r>
        <w:rPr>
          <w:rFonts w:hint="eastAsia"/>
          <w:color w:val="000000"/>
          <w:kern w:val="0"/>
          <w:sz w:val="24"/>
          <w:szCs w:val="21"/>
          <w:highlight w:val="none"/>
        </w:rPr>
        <w:t>开题报告内容，实施论文撰写工作，不得推迟或更改。</w:t>
      </w:r>
    </w:p>
    <w:p>
      <w:pPr>
        <w:widowControl/>
        <w:adjustRightInd w:val="0"/>
        <w:snapToGrid w:val="0"/>
        <w:spacing w:line="360" w:lineRule="auto"/>
        <w:ind w:firstLine="482"/>
        <w:jc w:val="left"/>
        <w:rPr>
          <w:rFonts w:hint="eastAsia"/>
          <w:color w:val="000000"/>
          <w:kern w:val="0"/>
          <w:sz w:val="24"/>
          <w:szCs w:val="21"/>
          <w:highlight w:val="none"/>
        </w:rPr>
      </w:pPr>
      <w:r>
        <w:rPr>
          <w:rFonts w:hint="eastAsia"/>
          <w:color w:val="000000"/>
          <w:kern w:val="0"/>
          <w:sz w:val="24"/>
          <w:szCs w:val="21"/>
          <w:highlight w:val="none"/>
        </w:rPr>
        <w:t>根据</w:t>
      </w:r>
      <w:r>
        <w:rPr>
          <w:color w:val="000000"/>
          <w:kern w:val="0"/>
          <w:sz w:val="24"/>
          <w:szCs w:val="21"/>
          <w:highlight w:val="none"/>
        </w:rPr>
        <w:t>《</w:t>
      </w:r>
      <w:r>
        <w:rPr>
          <w:rFonts w:hint="eastAsia"/>
          <w:color w:val="000000"/>
          <w:kern w:val="0"/>
          <w:sz w:val="24"/>
          <w:szCs w:val="21"/>
          <w:highlight w:val="none"/>
        </w:rPr>
        <w:t>国务院学位委员会、</w:t>
      </w:r>
      <w:r>
        <w:rPr>
          <w:color w:val="000000"/>
          <w:kern w:val="0"/>
          <w:sz w:val="24"/>
          <w:szCs w:val="21"/>
          <w:highlight w:val="none"/>
        </w:rPr>
        <w:t>教育部</w:t>
      </w:r>
      <w:r>
        <w:rPr>
          <w:rFonts w:hint="eastAsia"/>
          <w:color w:val="000000"/>
          <w:kern w:val="0"/>
          <w:sz w:val="24"/>
          <w:szCs w:val="21"/>
          <w:highlight w:val="none"/>
        </w:rPr>
        <w:t>、国家保密局 涉密研究生与涉密学位论文管理办法</w:t>
      </w:r>
      <w:r>
        <w:rPr>
          <w:color w:val="000000"/>
          <w:kern w:val="0"/>
          <w:sz w:val="24"/>
          <w:szCs w:val="21"/>
          <w:highlight w:val="none"/>
        </w:rPr>
        <w:t>》（</w:t>
      </w:r>
      <w:r>
        <w:rPr>
          <w:rFonts w:hint="eastAsia"/>
          <w:color w:val="000000"/>
          <w:kern w:val="0"/>
          <w:sz w:val="24"/>
          <w:szCs w:val="21"/>
          <w:highlight w:val="none"/>
        </w:rPr>
        <w:t>学位</w:t>
      </w:r>
      <w:r>
        <w:rPr>
          <w:color w:val="000000"/>
          <w:kern w:val="0"/>
          <w:sz w:val="24"/>
          <w:szCs w:val="21"/>
          <w:highlight w:val="none"/>
        </w:rPr>
        <w:t>〔201</w:t>
      </w:r>
      <w:r>
        <w:rPr>
          <w:rFonts w:hint="eastAsia"/>
          <w:color w:val="000000"/>
          <w:kern w:val="0"/>
          <w:sz w:val="24"/>
          <w:szCs w:val="21"/>
          <w:highlight w:val="none"/>
        </w:rPr>
        <w:t>6</w:t>
      </w:r>
      <w:r>
        <w:rPr>
          <w:color w:val="000000"/>
          <w:kern w:val="0"/>
          <w:sz w:val="24"/>
          <w:szCs w:val="21"/>
          <w:highlight w:val="none"/>
        </w:rPr>
        <w:t>〕</w:t>
      </w:r>
      <w:r>
        <w:rPr>
          <w:rFonts w:hint="eastAsia"/>
          <w:color w:val="000000"/>
          <w:kern w:val="0"/>
          <w:sz w:val="24"/>
          <w:szCs w:val="21"/>
          <w:highlight w:val="none"/>
        </w:rPr>
        <w:t>27</w:t>
      </w:r>
      <w:r>
        <w:rPr>
          <w:color w:val="000000"/>
          <w:kern w:val="0"/>
          <w:sz w:val="24"/>
          <w:szCs w:val="21"/>
          <w:highlight w:val="none"/>
        </w:rPr>
        <w:t>号）规定，硕士学位论文</w:t>
      </w:r>
      <w:r>
        <w:rPr>
          <w:rFonts w:hint="eastAsia"/>
          <w:color w:val="000000"/>
          <w:kern w:val="0"/>
          <w:sz w:val="24"/>
          <w:szCs w:val="21"/>
          <w:highlight w:val="none"/>
        </w:rPr>
        <w:t>确定涉密论文，应在开题前，由研究生本人提出申请、导师确认，按照相关程序审查批准。</w:t>
      </w:r>
    </w:p>
    <w:p>
      <w:pPr>
        <w:adjustRightInd w:val="0"/>
        <w:snapToGrid w:val="0"/>
        <w:spacing w:line="360" w:lineRule="auto"/>
        <w:rPr>
          <w:b/>
          <w:sz w:val="24"/>
        </w:rPr>
      </w:pPr>
      <w:r>
        <w:rPr>
          <w:rFonts w:hint="eastAsia" w:hAnsi="宋体"/>
          <w:b/>
          <w:sz w:val="24"/>
        </w:rPr>
        <w:t>六、</w:t>
      </w:r>
      <w:r>
        <w:rPr>
          <w:rFonts w:hAnsi="宋体"/>
          <w:b/>
          <w:sz w:val="24"/>
        </w:rPr>
        <w:t>中期考核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color w:val="000000"/>
          <w:kern w:val="0"/>
          <w:sz w:val="24"/>
          <w:szCs w:val="21"/>
        </w:rPr>
      </w:pPr>
      <w:r>
        <w:rPr>
          <w:rFonts w:hint="eastAsia"/>
          <w:color w:val="000000"/>
          <w:kern w:val="0"/>
          <w:sz w:val="24"/>
          <w:szCs w:val="21"/>
        </w:rPr>
        <w:t>中期考核在第三学期进行。根据课程学习的学分是否满足要求及开题报告情况，决定是否进入学位论文阶段。</w:t>
      </w:r>
    </w:p>
    <w:p>
      <w:pPr>
        <w:adjustRightInd w:val="0"/>
        <w:snapToGrid w:val="0"/>
        <w:spacing w:line="360" w:lineRule="auto"/>
        <w:rPr>
          <w:rFonts w:hAnsi="宋体"/>
          <w:b/>
          <w:sz w:val="24"/>
        </w:rPr>
      </w:pPr>
      <w:r>
        <w:rPr>
          <w:rFonts w:hint="eastAsia" w:hAnsi="宋体"/>
          <w:b/>
          <w:sz w:val="24"/>
        </w:rPr>
        <w:t>七、</w:t>
      </w:r>
      <w:r>
        <w:rPr>
          <w:rFonts w:hAnsi="宋体"/>
          <w:b/>
          <w:sz w:val="24"/>
        </w:rPr>
        <w:t>学位论文</w:t>
      </w:r>
    </w:p>
    <w:p>
      <w:pPr>
        <w:widowControl/>
        <w:snapToGrid w:val="0"/>
        <w:spacing w:line="360" w:lineRule="auto"/>
        <w:ind w:firstLine="54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1.第四—五学期为撰写学位论文、答辩时间。</w:t>
      </w:r>
    </w:p>
    <w:p>
      <w:pPr>
        <w:widowControl/>
        <w:snapToGrid w:val="0"/>
        <w:spacing w:line="360" w:lineRule="auto"/>
        <w:ind w:firstLine="54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2.学位论文是对硕士研究生进行科学研究的全面训练、培养其综合运用所学知识分析和解决实际问题能力的重要环节。第3学期在导师指导下确定学位论文选题，并提出撰写计划和开题报告，经导师或指导小组讨论确认后方能正式进行资料的查阅、搜集和论文撰写工作。论文应紧密围绕专业研究方向，要求格式规范，论证充分，逻辑性强，语言流畅，有一定的创见，字数不少于3万字。</w:t>
      </w:r>
    </w:p>
    <w:p>
      <w:pPr>
        <w:widowControl/>
        <w:snapToGrid w:val="0"/>
        <w:spacing w:line="360" w:lineRule="auto"/>
        <w:ind w:firstLine="54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3.指导教师对论文初稿提出反复修改意见，于毕业前三个月左右论文定稿。</w:t>
      </w:r>
    </w:p>
    <w:p>
      <w:pPr>
        <w:widowControl/>
        <w:snapToGrid w:val="0"/>
        <w:spacing w:line="360" w:lineRule="auto"/>
        <w:ind w:firstLine="54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4.学位论文评审和答辩程序，严格按国家规定办理，以保证学位论文质量。</w:t>
      </w:r>
    </w:p>
    <w:p>
      <w:pPr>
        <w:widowControl/>
        <w:snapToGrid w:val="0"/>
        <w:spacing w:line="360" w:lineRule="auto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八、附则</w:t>
      </w:r>
    </w:p>
    <w:p>
      <w:pPr>
        <w:pStyle w:val="6"/>
        <w:adjustRightInd w:val="0"/>
        <w:snapToGrid w:val="0"/>
        <w:spacing w:before="0" w:beforeAutospacing="0" w:after="0" w:afterAutospacing="0" w:line="360" w:lineRule="auto"/>
        <w:ind w:firstLine="480" w:firstLineChars="200"/>
        <w:rPr>
          <w:color w:val="000000"/>
        </w:rPr>
      </w:pPr>
      <w:r>
        <w:rPr>
          <w:color w:val="000000"/>
        </w:rPr>
        <w:t>（</w:t>
      </w:r>
      <w:r>
        <w:rPr>
          <w:rFonts w:hint="eastAsia"/>
          <w:color w:val="000000"/>
        </w:rPr>
        <w:t>一</w:t>
      </w:r>
      <w:r>
        <w:rPr>
          <w:color w:val="000000"/>
        </w:rPr>
        <w:t>）本培养方案适用于参加统一考试录取的</w:t>
      </w:r>
      <w:r>
        <w:rPr>
          <w:rFonts w:hint="eastAsia"/>
          <w:color w:val="000000"/>
        </w:rPr>
        <w:t>全日制社会学硕士</w:t>
      </w:r>
      <w:r>
        <w:rPr>
          <w:color w:val="000000"/>
        </w:rPr>
        <w:t>研究生。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t>（</w:t>
      </w:r>
      <w:r>
        <w:rPr>
          <w:rFonts w:hint="eastAsia" w:ascii="宋体" w:hAnsi="宋体" w:cs="宋体"/>
          <w:color w:val="000000"/>
          <w:kern w:val="0"/>
          <w:sz w:val="24"/>
        </w:rPr>
        <w:t>二</w:t>
      </w:r>
      <w:r>
        <w:rPr>
          <w:rFonts w:ascii="宋体" w:hAnsi="宋体" w:cs="宋体"/>
          <w:color w:val="000000"/>
          <w:kern w:val="0"/>
          <w:sz w:val="24"/>
        </w:rPr>
        <w:t>）本培养方案由河北科技大学文法学院负责解释。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（三）本培养方案自20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20</w:t>
      </w:r>
      <w:r>
        <w:rPr>
          <w:rFonts w:hint="eastAsia" w:ascii="宋体" w:hAnsi="宋体" w:cs="宋体"/>
          <w:color w:val="000000"/>
          <w:kern w:val="0"/>
          <w:sz w:val="24"/>
        </w:rPr>
        <w:t>级社会学硕士研究生开始执行。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学科或专业类别（领域）负责人（签字）：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宋体" w:hAnsi="宋体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主管院长（签字）：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宋体" w:hAnsi="宋体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宋体" w:hAnsi="宋体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宋体" w:hAnsi="宋体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                             （公章）</w:t>
      </w:r>
    </w:p>
    <w:p>
      <w:pPr>
        <w:adjustRightInd w:val="0"/>
        <w:snapToGrid w:val="0"/>
        <w:spacing w:line="360" w:lineRule="auto"/>
        <w:ind w:firstLine="560" w:firstLineChars="200"/>
        <w:rPr>
          <w:rFonts w:hAnsi="宋体"/>
          <w:sz w:val="24"/>
          <w:szCs w:val="20"/>
        </w:rPr>
      </w:pPr>
      <w:r>
        <w:rPr>
          <w:rFonts w:hint="eastAsia" w:ascii="宋体" w:hAnsi="宋体"/>
          <w:sz w:val="28"/>
          <w:szCs w:val="28"/>
        </w:rPr>
        <w:t xml:space="preserve">                                         2020年 月  日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hAnsi="宋体"/>
          <w:sz w:val="24"/>
          <w:szCs w:val="20"/>
        </w:rPr>
      </w:pPr>
    </w:p>
    <w:p>
      <w:pPr>
        <w:widowControl/>
        <w:snapToGrid w:val="0"/>
        <w:spacing w:line="360" w:lineRule="auto"/>
        <w:rPr>
          <w:rFonts w:ascii="宋体" w:hAnsi="宋体" w:cs="宋体"/>
          <w:color w:val="000000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729840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06CC8"/>
    <w:rsid w:val="0003357A"/>
    <w:rsid w:val="00043B65"/>
    <w:rsid w:val="00063647"/>
    <w:rsid w:val="00080D80"/>
    <w:rsid w:val="000A4170"/>
    <w:rsid w:val="001061E8"/>
    <w:rsid w:val="00131866"/>
    <w:rsid w:val="00134446"/>
    <w:rsid w:val="001574A7"/>
    <w:rsid w:val="001837DC"/>
    <w:rsid w:val="001837E9"/>
    <w:rsid w:val="00186CBD"/>
    <w:rsid w:val="001D6F04"/>
    <w:rsid w:val="001E0165"/>
    <w:rsid w:val="001E6A3D"/>
    <w:rsid w:val="001F674D"/>
    <w:rsid w:val="00226EFE"/>
    <w:rsid w:val="00250D87"/>
    <w:rsid w:val="00286182"/>
    <w:rsid w:val="002B0458"/>
    <w:rsid w:val="002E2E9E"/>
    <w:rsid w:val="002F5724"/>
    <w:rsid w:val="00312325"/>
    <w:rsid w:val="003247C7"/>
    <w:rsid w:val="00333159"/>
    <w:rsid w:val="00344F9F"/>
    <w:rsid w:val="003467D9"/>
    <w:rsid w:val="00386C88"/>
    <w:rsid w:val="003B572D"/>
    <w:rsid w:val="003C23DE"/>
    <w:rsid w:val="003D0AC6"/>
    <w:rsid w:val="003D29B6"/>
    <w:rsid w:val="00412B00"/>
    <w:rsid w:val="0042233E"/>
    <w:rsid w:val="00432B2E"/>
    <w:rsid w:val="00436175"/>
    <w:rsid w:val="00437F71"/>
    <w:rsid w:val="004556A2"/>
    <w:rsid w:val="00466201"/>
    <w:rsid w:val="004822CA"/>
    <w:rsid w:val="00490BA7"/>
    <w:rsid w:val="00494737"/>
    <w:rsid w:val="004A6320"/>
    <w:rsid w:val="004F0FD9"/>
    <w:rsid w:val="00500740"/>
    <w:rsid w:val="00506CC8"/>
    <w:rsid w:val="005322D0"/>
    <w:rsid w:val="00537CD7"/>
    <w:rsid w:val="00563C66"/>
    <w:rsid w:val="005D12C1"/>
    <w:rsid w:val="006110E0"/>
    <w:rsid w:val="00645C32"/>
    <w:rsid w:val="006A4829"/>
    <w:rsid w:val="006C6DA1"/>
    <w:rsid w:val="006F1DC6"/>
    <w:rsid w:val="006F372F"/>
    <w:rsid w:val="007079F3"/>
    <w:rsid w:val="007159AB"/>
    <w:rsid w:val="007517DF"/>
    <w:rsid w:val="00754D31"/>
    <w:rsid w:val="00762272"/>
    <w:rsid w:val="007710A6"/>
    <w:rsid w:val="00775255"/>
    <w:rsid w:val="007A1707"/>
    <w:rsid w:val="007B28F7"/>
    <w:rsid w:val="007C7AD1"/>
    <w:rsid w:val="007D4DA8"/>
    <w:rsid w:val="007D7952"/>
    <w:rsid w:val="007E5180"/>
    <w:rsid w:val="007F674D"/>
    <w:rsid w:val="00827698"/>
    <w:rsid w:val="008309BB"/>
    <w:rsid w:val="00872E78"/>
    <w:rsid w:val="00890312"/>
    <w:rsid w:val="00892878"/>
    <w:rsid w:val="008C586C"/>
    <w:rsid w:val="008F2586"/>
    <w:rsid w:val="00902AA0"/>
    <w:rsid w:val="00905E8B"/>
    <w:rsid w:val="0092331E"/>
    <w:rsid w:val="009331AC"/>
    <w:rsid w:val="00946C61"/>
    <w:rsid w:val="00946F65"/>
    <w:rsid w:val="009538A9"/>
    <w:rsid w:val="00963D0C"/>
    <w:rsid w:val="00964138"/>
    <w:rsid w:val="00975414"/>
    <w:rsid w:val="00976C72"/>
    <w:rsid w:val="00993DEB"/>
    <w:rsid w:val="0099536B"/>
    <w:rsid w:val="009C2408"/>
    <w:rsid w:val="009F598C"/>
    <w:rsid w:val="00A00411"/>
    <w:rsid w:val="00A401BD"/>
    <w:rsid w:val="00A766A7"/>
    <w:rsid w:val="00A77178"/>
    <w:rsid w:val="00A81C67"/>
    <w:rsid w:val="00A86C74"/>
    <w:rsid w:val="00AA05A7"/>
    <w:rsid w:val="00AB1431"/>
    <w:rsid w:val="00AD6F34"/>
    <w:rsid w:val="00AF1FE6"/>
    <w:rsid w:val="00B138A7"/>
    <w:rsid w:val="00B40741"/>
    <w:rsid w:val="00B82D1C"/>
    <w:rsid w:val="00BB3CEE"/>
    <w:rsid w:val="00C256E9"/>
    <w:rsid w:val="00C44549"/>
    <w:rsid w:val="00C45001"/>
    <w:rsid w:val="00C55264"/>
    <w:rsid w:val="00C73B7C"/>
    <w:rsid w:val="00C9544C"/>
    <w:rsid w:val="00CA5875"/>
    <w:rsid w:val="00CC512A"/>
    <w:rsid w:val="00CE1EB8"/>
    <w:rsid w:val="00D00880"/>
    <w:rsid w:val="00D2754C"/>
    <w:rsid w:val="00D27583"/>
    <w:rsid w:val="00D7639C"/>
    <w:rsid w:val="00D82468"/>
    <w:rsid w:val="00D941F9"/>
    <w:rsid w:val="00E00F92"/>
    <w:rsid w:val="00E07C13"/>
    <w:rsid w:val="00E13C4B"/>
    <w:rsid w:val="00E46D70"/>
    <w:rsid w:val="00E5003C"/>
    <w:rsid w:val="00E672C3"/>
    <w:rsid w:val="00EA30C1"/>
    <w:rsid w:val="00EA475C"/>
    <w:rsid w:val="00EB5BF2"/>
    <w:rsid w:val="00ED0AF1"/>
    <w:rsid w:val="00F7152F"/>
    <w:rsid w:val="00F83CC2"/>
    <w:rsid w:val="00FA27D8"/>
    <w:rsid w:val="00FA28AE"/>
    <w:rsid w:val="00FB2B84"/>
    <w:rsid w:val="00FD6657"/>
    <w:rsid w:val="00FF0A82"/>
    <w:rsid w:val="205C0CB7"/>
    <w:rsid w:val="35087D67"/>
    <w:rsid w:val="3B6A6A16"/>
    <w:rsid w:val="4BB713E6"/>
    <w:rsid w:val="5FCB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nhideWhenUsed="0" w:uiPriority="0" w:semiHidden="0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3"/>
    <w:qFormat/>
    <w:uiPriority w:val="0"/>
    <w:pPr>
      <w:spacing w:line="360" w:lineRule="auto"/>
      <w:ind w:firstLine="480" w:firstLineChars="200"/>
    </w:pPr>
    <w:rPr>
      <w:rFonts w:ascii="宋体" w:hAnsi="宋体"/>
      <w:bCs/>
      <w:sz w:val="24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Indent 3"/>
    <w:basedOn w:val="1"/>
    <w:link w:val="12"/>
    <w:uiPriority w:val="0"/>
    <w:pPr>
      <w:spacing w:before="120" w:after="120" w:line="300" w:lineRule="auto"/>
      <w:ind w:firstLine="482"/>
    </w:pPr>
    <w:rPr>
      <w:sz w:val="24"/>
      <w:szCs w:val="20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Hyperlink"/>
    <w:basedOn w:val="8"/>
    <w:uiPriority w:val="99"/>
    <w:rPr>
      <w:color w:val="0000FF"/>
      <w:u w:val="single"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2">
    <w:name w:val="正文文本缩进 3 Char"/>
    <w:basedOn w:val="8"/>
    <w:link w:val="5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13">
    <w:name w:val="正文文本缩进 Char"/>
    <w:basedOn w:val="8"/>
    <w:link w:val="2"/>
    <w:qFormat/>
    <w:uiPriority w:val="0"/>
    <w:rPr>
      <w:rFonts w:ascii="宋体" w:hAnsi="宋体" w:eastAsia="宋体" w:cs="Times New Roman"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410</Words>
  <Characters>2338</Characters>
  <Lines>19</Lines>
  <Paragraphs>5</Paragraphs>
  <TotalTime>0</TotalTime>
  <ScaleCrop>false</ScaleCrop>
  <LinksUpToDate>false</LinksUpToDate>
  <CharactersWithSpaces>2743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2019-05-10T03:35:00Z</dcterms:created>
  <dc:creator>Administrator</dc:creator>
  <cp:lastModifiedBy>Administrator</cp:lastModifiedBy>
  <cp:lastPrinted>2019-07-04T07:03:00Z</cp:lastPrinted>
  <dcterms:modified xsi:type="dcterms:W3CDTF">2020-06-19T07:58:00Z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